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ALIANZA PÚBLICO-PRIVADA (APP)</w:t>
      </w:r>
    </w:p>
    <w:p>
      <w:pPr>
        <w:jc w:val="center"/>
      </w:pPr>
      <w:r>
        <w:rPr>
          <w:rFonts w:ascii="Calibri" w:hAnsi="Calibri"/>
          <w:b w:val="0"/>
          <w:i/>
          <w:sz w:val="20"/>
        </w:rPr>
        <w:t>Conforme a la Ley APP (Decreto 16-2010)</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Contrato de APP para desarrollo de infraestructura económica estratégica, mediante esquema de financiamiento privado y participación pública.</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OBJETO Y ESQUEMA</w:t>
      </w:r>
    </w:p>
    <w:p>
      <w:pPr>
        <w:jc w:val="both"/>
      </w:pPr>
      <w:r>
        <w:rPr>
          <w:rFonts w:ascii="Calibri" w:hAnsi="Calibri"/>
          <w:b w:val="0"/>
          <w:i w:val="0"/>
          <w:sz w:val="22"/>
        </w:rPr>
        <w:t>Diseño, construcción, financiamiento, operación y mantenimiento de [INFRAESTRUCTURA] bajo esquema [BOT / BOOT / DBOOT].</w:t>
      </w:r>
    </w:p>
    <w:p>
      <w:pPr>
        <w:jc w:val="left"/>
      </w:pPr>
      <w:r>
        <w:rPr>
          <w:b/>
          <w:color w:val="2E4E7C"/>
          <w:sz w:val="22"/>
        </w:rPr>
        <w:t>DÉCIMA PRIMERA: PLAZO</w:t>
      </w:r>
    </w:p>
    <w:p>
      <w:pPr>
        <w:jc w:val="both"/>
      </w:pPr>
      <w:r>
        <w:rPr>
          <w:rFonts w:ascii="Calibri" w:hAnsi="Calibri"/>
          <w:b w:val="0"/>
          <w:i w:val="0"/>
          <w:sz w:val="22"/>
        </w:rPr>
        <w:t>Concesión por [#] años desde la firma.</w:t>
      </w:r>
    </w:p>
    <w:p>
      <w:pPr>
        <w:jc w:val="left"/>
      </w:pPr>
      <w:r>
        <w:rPr>
          <w:b/>
          <w:color w:val="2E4E7C"/>
          <w:sz w:val="22"/>
        </w:rPr>
        <w:t>DÉCIMA SEGUNDA: VEHÍCULO DE PROPÓSITO ESPECIAL</w:t>
      </w:r>
    </w:p>
    <w:p>
      <w:pPr>
        <w:jc w:val="both"/>
      </w:pPr>
      <w:r>
        <w:rPr>
          <w:rFonts w:ascii="Calibri" w:hAnsi="Calibri"/>
          <w:b w:val="0"/>
          <w:i w:val="0"/>
          <w:sz w:val="22"/>
        </w:rPr>
        <w:t>EL CONCESIONARIO constituirá un SPV exclusivo para el proyecto, con capital mínimo de Q[MONTO].</w:t>
      </w:r>
    </w:p>
    <w:p>
      <w:pPr>
        <w:jc w:val="left"/>
      </w:pPr>
      <w:r>
        <w:rPr>
          <w:b/>
          <w:color w:val="2E4E7C"/>
          <w:sz w:val="22"/>
        </w:rPr>
        <w:t>DÉCIMA TERCERA: ESTRUCTURA FINANCIERA</w:t>
      </w:r>
    </w:p>
    <w:p>
      <w:pPr>
        <w:jc w:val="both"/>
      </w:pPr>
      <w:r>
        <w:rPr>
          <w:rFonts w:ascii="Calibri" w:hAnsi="Calibri"/>
          <w:b w:val="0"/>
          <w:i w:val="0"/>
          <w:sz w:val="22"/>
        </w:rPr>
        <w:t>Inversión: equity [#]%, deuda [#]%, garantías del Estado [#]%.</w:t>
      </w:r>
    </w:p>
    <w:p>
      <w:pPr>
        <w:jc w:val="left"/>
      </w:pPr>
      <w:r>
        <w:rPr>
          <w:b/>
          <w:color w:val="2E4E7C"/>
          <w:sz w:val="22"/>
        </w:rPr>
        <w:t>DÉCIMA CUARTA: DISTRIBUCIÓN DE RIESGOS</w:t>
      </w:r>
    </w:p>
    <w:p>
      <w:pPr>
        <w:jc w:val="both"/>
      </w:pPr>
      <w:r>
        <w:rPr>
          <w:rFonts w:ascii="Calibri" w:hAnsi="Calibri"/>
          <w:b w:val="0"/>
          <w:i w:val="0"/>
          <w:sz w:val="22"/>
        </w:rPr>
        <w:t>Matriz de riesgos: técnicos, financieros, regulatorios, operativos, force majeure. Cada parte asume los riesgos según su capacidad de gestión.</w:t>
      </w:r>
    </w:p>
    <w:p>
      <w:pPr>
        <w:jc w:val="left"/>
      </w:pPr>
      <w:r>
        <w:rPr>
          <w:b/>
          <w:color w:val="2E4E7C"/>
          <w:sz w:val="22"/>
        </w:rPr>
        <w:t>DÉCIMA QUINTA: PAGOS Y/O TARIFAS</w:t>
      </w:r>
    </w:p>
    <w:p>
      <w:pPr>
        <w:jc w:val="both"/>
      </w:pPr>
      <w:r>
        <w:rPr>
          <w:rFonts w:ascii="Calibri" w:hAnsi="Calibri"/>
          <w:b w:val="0"/>
          <w:i w:val="0"/>
          <w:sz w:val="22"/>
        </w:rPr>
        <w:t>Combinación de tarifas de usuarios + pagos por disponibilidad + cofinanciamiento.</w:t>
      </w:r>
    </w:p>
    <w:p>
      <w:pPr>
        <w:jc w:val="left"/>
      </w:pPr>
      <w:r>
        <w:rPr>
          <w:b/>
          <w:color w:val="2E4E7C"/>
          <w:sz w:val="22"/>
        </w:rPr>
        <w:t>DÉCIMA SEXTA: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SÉPTIMA: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OCTAVA: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NOVENA: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VIGÉSIMA: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VIGÉSIMA PRIMERA: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VIGÉSIMA SEGUNDA: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STEP-IN RIGHTS</w:t>
      </w:r>
    </w:p>
    <w:p>
      <w:pPr>
        <w:jc w:val="both"/>
      </w:pPr>
      <w:r>
        <w:rPr>
          <w:rFonts w:ascii="Calibri" w:hAnsi="Calibri"/>
          <w:b w:val="0"/>
          <w:i w:val="0"/>
          <w:sz w:val="22"/>
        </w:rPr>
        <w:t>Prestamistas pueden tomar control del proyecto en caso de incumplimiento del concesionario.</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 (Estado/ANADIE)</w:t>
        <w:br/>
        <w:t>[RAZÓN SOCIAL]</w:t>
      </w:r>
    </w:p>
    <w:p>
      <w:r>
        <w:rPr>
          <w:rFonts w:ascii="Calibri" w:hAnsi="Calibri"/>
          <w:b w:val="0"/>
          <w:i w:val="0"/>
          <w:sz w:val="22"/>
        </w:rPr>
        <w:t>_________________________________</w:t>
        <w:br/>
        <w:t>[REPRESENTANTE LEGAL]</w:t>
        <w:br/>
        <w:t>EL CONCESIONARIO (SPV)</w:t>
        <w:br/>
        <w:t>[RAZÓN SOCIAL]</w:t>
      </w:r>
    </w:p>
    <w:p>
      <w:r>
        <w:br w:type="page"/>
      </w:r>
    </w:p>
    <w:p>
      <w:pPr>
        <w:jc w:val="left"/>
      </w:pPr>
      <w:r>
        <w:rPr>
          <w:b/>
          <w:color w:val="1F3A5F"/>
          <w:sz w:val="26"/>
        </w:rPr>
        <w:t>NOTAS LEGALES (Guatemala)</w:t>
      </w:r>
    </w:p>
    <w:p>
      <w:pPr>
        <w:jc w:val="both"/>
      </w:pPr>
      <w:r>
        <w:rPr>
          <w:rFonts w:ascii="Calibri" w:hAnsi="Calibri"/>
          <w:b w:val="0"/>
          <w:i w:val="0"/>
          <w:sz w:val="21"/>
        </w:rPr>
        <w:t>• Ley APP (Dto. 16-2010) — ANADIE coordina.</w:t>
      </w:r>
    </w:p>
    <w:p>
      <w:pPr>
        <w:jc w:val="both"/>
      </w:pPr>
      <w:r>
        <w:rPr>
          <w:rFonts w:ascii="Calibri" w:hAnsi="Calibri"/>
          <w:b w:val="0"/>
          <w:i w:val="0"/>
          <w:sz w:val="21"/>
        </w:rPr>
        <w:t>• Aprobación: contratos &gt; umbral requieren autorización del Congreso.</w:t>
      </w:r>
    </w:p>
    <w:p>
      <w:pPr>
        <w:jc w:val="both"/>
      </w:pPr>
      <w:r>
        <w:rPr>
          <w:rFonts w:ascii="Calibri" w:hAnsi="Calibri"/>
          <w:b w:val="0"/>
          <w:i w:val="0"/>
          <w:sz w:val="21"/>
        </w:rPr>
        <w:t>• Estructura típica: project finance + SPV + garantías.</w:t>
      </w:r>
    </w:p>
    <w:p>
      <w:pPr>
        <w:jc w:val="both"/>
      </w:pPr>
      <w:r>
        <w:rPr>
          <w:rFonts w:ascii="Calibri" w:hAnsi="Calibri"/>
          <w:b w:val="0"/>
          <w:i w:val="0"/>
          <w:sz w:val="21"/>
        </w:rPr>
        <w:t>• Equilibrio económico-financiero protegido.</w:t>
      </w:r>
    </w:p>
    <w:p>
      <w:pPr>
        <w:jc w:val="both"/>
      </w:pPr>
      <w:r>
        <w:rPr>
          <w:rFonts w:ascii="Calibri" w:hAnsi="Calibri"/>
          <w:b w:val="0"/>
          <w:i w:val="0"/>
          <w:sz w:val="21"/>
        </w:rPr>
        <w:t>• Solución de controversias: arbitraje internacional (CIADI, UNCITRAL).</w:t>
      </w:r>
    </w:p>
    <w:p>
      <w:pPr>
        <w:jc w:val="both"/>
      </w:pPr>
      <w:r>
        <w:rPr>
          <w:rFonts w:ascii="Calibri" w:hAnsi="Calibri"/>
          <w:b w:val="0"/>
          <w:i w:val="0"/>
          <w:sz w:val="21"/>
        </w:rPr>
        <w:t>• Step-in rights de prestamistas (lenders).</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[ANADIE]</w:t>
            </w:r>
          </w:p>
        </w:tc>
        <w:tc>
          <w:tcPr>
            <w:tcW w:type="dxa" w:w="4703"/>
          </w:tcPr>
          <w:p>
            <w:r>
              <w:t>Agencia Nacional de Alianzas para el Desarrollo de Infraestructura Económica.</w:t>
            </w:r>
          </w:p>
        </w:tc>
      </w:tr>
    </w:tbl>
    <w:p/>
    <w:p>
      <w:pPr>
        <w:jc w:val="left"/>
      </w:pPr>
      <w:r>
        <w:rPr>
          <w:b/>
          <w:color w:val="1F3A5F"/>
          <w:sz w:val="26"/>
        </w:rPr>
        <w:t>CHECKLIST DE REQUISITOS Y DOCUMENTOS</w:t>
      </w:r>
    </w:p>
    <w:p>
      <w:r>
        <w:rPr>
          <w:rFonts w:ascii="Calibri" w:hAnsi="Calibri"/>
          <w:b w:val="0"/>
          <w:i w:val="0"/>
          <w:sz w:val="21"/>
        </w:rPr>
        <w:t>☐  Estudio de factibilidad ANADIE</w:t>
      </w:r>
    </w:p>
    <w:p>
      <w:r>
        <w:rPr>
          <w:rFonts w:ascii="Calibri" w:hAnsi="Calibri"/>
          <w:b w:val="0"/>
          <w:i w:val="0"/>
          <w:sz w:val="21"/>
        </w:rPr>
        <w:t>☐  Modelo financiero</w:t>
      </w:r>
    </w:p>
    <w:p>
      <w:r>
        <w:rPr>
          <w:rFonts w:ascii="Calibri" w:hAnsi="Calibri"/>
          <w:b w:val="0"/>
          <w:i w:val="0"/>
          <w:sz w:val="21"/>
        </w:rPr>
        <w:t>☐  Aprobación Congreso</w:t>
      </w:r>
    </w:p>
    <w:p>
      <w:r>
        <w:rPr>
          <w:rFonts w:ascii="Calibri" w:hAnsi="Calibri"/>
          <w:b w:val="0"/>
          <w:i w:val="0"/>
          <w:sz w:val="21"/>
        </w:rPr>
        <w:t>☐  EIA</w:t>
      </w:r>
    </w:p>
    <w:p>
      <w:r>
        <w:rPr>
          <w:rFonts w:ascii="Calibri" w:hAnsi="Calibri"/>
          <w:b w:val="0"/>
          <w:i w:val="0"/>
          <w:sz w:val="21"/>
        </w:rPr>
        <w:t>☐  Constitución SPV</w:t>
      </w:r>
    </w:p>
    <w:p>
      <w:r>
        <w:rPr>
          <w:rFonts w:ascii="Calibri" w:hAnsi="Calibri"/>
          <w:b w:val="0"/>
          <w:i w:val="0"/>
          <w:sz w:val="21"/>
        </w:rPr>
        <w:t>☐  Cierre financiero</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