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ABIERTO DE SUMINISTRO RECURRENTE</w:t>
      </w:r>
    </w:p>
    <w:p>
      <w:pPr>
        <w:jc w:val="center"/>
      </w:pPr>
      <w:r>
        <w:rPr>
          <w:rFonts w:ascii="Calibri" w:hAnsi="Calibri"/>
          <w:b w:val="0"/>
          <w:i/>
          <w:sz w:val="20"/>
        </w:rPr>
        <w:t>Modalidad de la LCE para compras recurrentes con catálogo</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Compras recurrentes de bienes/servicios estandarizados a través de catálogo electrónico.</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CATÁLOGO ELECTRÓNICO</w:t>
      </w:r>
    </w:p>
    <w:p>
      <w:pPr>
        <w:jc w:val="both"/>
      </w:pPr>
      <w:r>
        <w:rPr>
          <w:rFonts w:ascii="Calibri" w:hAnsi="Calibri"/>
          <w:b w:val="0"/>
          <w:i w:val="0"/>
          <w:sz w:val="22"/>
        </w:rPr>
        <w:t>Bienes/servicios disponibles con precios fijos durante la vigencia. Anexo catálogo en GUATECOMPRAS.</w:t>
      </w:r>
    </w:p>
    <w:p>
      <w:pPr>
        <w:jc w:val="left"/>
      </w:pPr>
      <w:r>
        <w:rPr>
          <w:b/>
          <w:color w:val="2E4E7C"/>
          <w:sz w:val="22"/>
        </w:rPr>
        <w:t>DÉCIMA PRIMERA: ÓRDENES DE COMPRA</w:t>
      </w:r>
    </w:p>
    <w:p>
      <w:pPr>
        <w:jc w:val="both"/>
      </w:pPr>
      <w:r>
        <w:rPr>
          <w:rFonts w:ascii="Calibri" w:hAnsi="Calibri"/>
          <w:b w:val="0"/>
          <w:i w:val="0"/>
          <w:sz w:val="22"/>
        </w:rPr>
        <w:t>Cada entidad pública puede emitir órdenes contra el catálogo. La orden constituye perfeccionamiento parcial del contrato.</w:t>
      </w:r>
    </w:p>
    <w:p>
      <w:pPr>
        <w:jc w:val="left"/>
      </w:pPr>
      <w:r>
        <w:rPr>
          <w:b/>
          <w:color w:val="2E4E7C"/>
          <w:sz w:val="22"/>
        </w:rPr>
        <w:t>DÉCIMA SEGUNDA: VIGENCIA Y RENOVACIÓN</w:t>
      </w:r>
    </w:p>
    <w:p>
      <w:pPr>
        <w:jc w:val="both"/>
      </w:pPr>
      <w:r>
        <w:rPr>
          <w:rFonts w:ascii="Calibri" w:hAnsi="Calibri"/>
          <w:b w:val="0"/>
          <w:i w:val="0"/>
          <w:sz w:val="22"/>
        </w:rPr>
        <w:t>Vigencia inicial [#] meses, renovable hasta [#] años.</w:t>
      </w:r>
    </w:p>
    <w:p>
      <w:pPr>
        <w:jc w:val="left"/>
      </w:pPr>
      <w:r>
        <w:rPr>
          <w:b/>
          <w:color w:val="2E4E7C"/>
          <w:sz w:val="22"/>
        </w:rPr>
        <w:t>DÉCIMA TERCERA: VOLUMEN ESTIMADO Y MÍNIMOS</w:t>
      </w:r>
    </w:p>
    <w:p>
      <w:pPr>
        <w:jc w:val="both"/>
      </w:pPr>
      <w:r>
        <w:rPr>
          <w:rFonts w:ascii="Calibri" w:hAnsi="Calibri"/>
          <w:b w:val="0"/>
          <w:i w:val="0"/>
          <w:sz w:val="22"/>
        </w:rPr>
        <w:t>Volumen anual estimado [#] unidades. No hay compromiso mínimo de compra; tampoco máximo (sujeto a presupuesto).</w:t>
      </w:r>
    </w:p>
    <w:p>
      <w:pPr>
        <w:jc w:val="left"/>
      </w:pPr>
      <w:r>
        <w:rPr>
          <w:b/>
          <w:color w:val="2E4E7C"/>
          <w:sz w:val="22"/>
        </w:rPr>
        <w:t>DÉCIMA CUARTA: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QUINTA: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SEXTA: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SÉPTIMA: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OCTAVA: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NOVENA: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REVISIÓN DE PRECIOS</w:t>
      </w:r>
    </w:p>
    <w:p>
      <w:pPr>
        <w:jc w:val="both"/>
      </w:pPr>
      <w:r>
        <w:rPr>
          <w:rFonts w:ascii="Calibri" w:hAnsi="Calibri"/>
          <w:b w:val="0"/>
          <w:i w:val="0"/>
          <w:sz w:val="22"/>
        </w:rPr>
        <w:t>Anual conforme a IPC o índices sectoriales.</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COORDINADORA</w:t>
        <w:br/>
        <w:t>[RAZÓN SOCIAL]</w:t>
      </w:r>
    </w:p>
    <w:p>
      <w:r>
        <w:rPr>
          <w:rFonts w:ascii="Calibri" w:hAnsi="Calibri"/>
          <w:b w:val="0"/>
          <w:i w:val="0"/>
          <w:sz w:val="22"/>
        </w:rPr>
        <w:t>_________________________________</w:t>
        <w:br/>
        <w:t>[REPRESENTANTE LEGAL]</w:t>
        <w:br/>
        <w:t>EL PROVEEDOR</w:t>
        <w:br/>
        <w:t>[RAZÓN SOCIAL]</w:t>
      </w:r>
    </w:p>
    <w:p>
      <w:r>
        <w:br w:type="page"/>
      </w:r>
    </w:p>
    <w:p>
      <w:pPr>
        <w:jc w:val="left"/>
      </w:pPr>
      <w:r>
        <w:rPr>
          <w:b/>
          <w:color w:val="1F3A5F"/>
          <w:sz w:val="26"/>
        </w:rPr>
        <w:t>NOTAS LEGALES (Guatemala)</w:t>
      </w:r>
    </w:p>
    <w:p>
      <w:pPr>
        <w:jc w:val="both"/>
      </w:pPr>
      <w:r>
        <w:rPr>
          <w:rFonts w:ascii="Calibri" w:hAnsi="Calibri"/>
          <w:b w:val="0"/>
          <w:i w:val="0"/>
          <w:sz w:val="21"/>
        </w:rPr>
        <w:t>• Modalidad eficiente para compras recurrentes (medicamentos, papelería, combustibles).</w:t>
      </w:r>
    </w:p>
    <w:p>
      <w:pPr>
        <w:jc w:val="both"/>
      </w:pPr>
      <w:r>
        <w:rPr>
          <w:rFonts w:ascii="Calibri" w:hAnsi="Calibri"/>
          <w:b w:val="0"/>
          <w:i w:val="0"/>
          <w:sz w:val="21"/>
        </w:rPr>
        <w:t>• Coordinación por entidad central; aplicabilidad multi-entidad.</w:t>
      </w:r>
    </w:p>
    <w:p>
      <w:pPr>
        <w:jc w:val="both"/>
      </w:pPr>
      <w:r>
        <w:rPr>
          <w:rFonts w:ascii="Calibri" w:hAnsi="Calibri"/>
          <w:b w:val="0"/>
          <w:i w:val="0"/>
          <w:sz w:val="21"/>
        </w:rPr>
        <w:t>• Precios fijos durante vigencia.</w:t>
      </w:r>
    </w:p>
    <w:p>
      <w:pPr>
        <w:jc w:val="both"/>
      </w:pPr>
      <w:r>
        <w:rPr>
          <w:rFonts w:ascii="Calibri" w:hAnsi="Calibri"/>
          <w:b w:val="0"/>
          <w:i w:val="0"/>
          <w:sz w:val="21"/>
        </w:rPr>
        <w:t>• Sin compromiso mínimo de compra para las entidades.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[CONTRATO ABIERTO]</w:t>
            </w:r>
          </w:p>
        </w:tc>
        <w:tc>
          <w:tcPr>
            <w:tcW w:type="dxa" w:w="4703"/>
          </w:tcPr>
          <w:p>
            <w:r>
              <w:t>Modalidad LCE para compras recurrentes.</w:t>
            </w:r>
          </w:p>
        </w:tc>
      </w:tr>
    </w:tbl>
    <w:p/>
    <w:p>
      <w:pPr>
        <w:jc w:val="left"/>
      </w:pPr>
      <w:r>
        <w:rPr>
          <w:b/>
          <w:color w:val="1F3A5F"/>
          <w:sz w:val="26"/>
        </w:rPr>
        <w:t>CHECKLIST DE REQUISITOS Y DOCUMENTOS</w:t>
      </w:r>
    </w:p>
    <w:p>
      <w:r>
        <w:rPr>
          <w:rFonts w:ascii="Calibri" w:hAnsi="Calibri"/>
          <w:b w:val="0"/>
          <w:i w:val="0"/>
          <w:sz w:val="21"/>
        </w:rPr>
        <w:t>☐  Catálogo con especificaciones</w:t>
      </w:r>
    </w:p>
    <w:p>
      <w:r>
        <w:rPr>
          <w:rFonts w:ascii="Calibri" w:hAnsi="Calibri"/>
          <w:b w:val="0"/>
          <w:i w:val="0"/>
          <w:sz w:val="21"/>
        </w:rPr>
        <w:t>☐  Selección por criterios</w:t>
      </w:r>
    </w:p>
    <w:p>
      <w:r>
        <w:rPr>
          <w:rFonts w:ascii="Calibri" w:hAnsi="Calibri"/>
          <w:b w:val="0"/>
          <w:i w:val="0"/>
          <w:sz w:val="21"/>
        </w:rPr>
        <w:t>☐  Plataforma electrónica</w:t>
      </w:r>
    </w:p>
    <w:p>
      <w:r>
        <w:rPr>
          <w:rFonts w:ascii="Calibri" w:hAnsi="Calibri"/>
          <w:b w:val="0"/>
          <w:i w:val="0"/>
          <w:sz w:val="21"/>
        </w:rPr>
        <w:t>☐  Monitoreo de precios de mercado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