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ADMINISTRATIVO DE OBRA PÚBLICA</w:t>
      </w:r>
    </w:p>
    <w:p>
      <w:pPr>
        <w:jc w:val="center"/>
      </w:pPr>
      <w:r>
        <w:rPr>
          <w:rFonts w:ascii="Calibri" w:hAnsi="Calibri"/>
          <w:b w:val="0"/>
          <w:i/>
          <w:sz w:val="20"/>
        </w:rPr>
        <w:t>Conforme a la Ley de Contrataciones del Estado (Decreto 57-92)</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Que LA ENTIDAD CONTRATANTE adjudicó la obra [DESCRIPCIÓN] mediante [LICITACIÓN PÚBLICA / COTIZACIÓN / EXCEPCIÓN] número [#] publicada en GUATECOMPRAS [FECHA].</w:t>
      </w:r>
    </w:p>
    <w:p>
      <w:pPr>
        <w:jc w:val="both"/>
      </w:pPr>
      <w:r>
        <w:rPr>
          <w:rFonts w:ascii="Calibri" w:hAnsi="Calibri"/>
          <w:b w:val="0"/>
          <w:i w:val="0"/>
          <w:sz w:val="22"/>
        </w:rPr>
        <w:t>II. Que EL CONTRATISTA resultó adjudicatario y cumple con los requisitos legales.</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ESPECIFICACIONES TÉCNICAS Y PLANOS</w:t>
      </w:r>
    </w:p>
    <w:p>
      <w:pPr>
        <w:jc w:val="both"/>
      </w:pPr>
      <w:r>
        <w:rPr>
          <w:rFonts w:ascii="Calibri" w:hAnsi="Calibri"/>
          <w:b w:val="0"/>
          <w:i w:val="0"/>
          <w:sz w:val="22"/>
        </w:rPr>
        <w:t>La obra se ejecuta conforme a los planos, especificaciones técnicas, presupuesto detallado y demás documentos de la licitación, que forman parte integrante del contrato.</w:t>
      </w:r>
    </w:p>
    <w:p>
      <w:pPr>
        <w:jc w:val="left"/>
      </w:pPr>
      <w:r>
        <w:rPr>
          <w:b/>
          <w:color w:val="2E4E7C"/>
          <w:sz w:val="22"/>
        </w:rPr>
        <w:t>DÉCIMA PRIMERA: RECEPCIÓN DE LA OBRA</w:t>
      </w:r>
    </w:p>
    <w:p>
      <w:pPr>
        <w:jc w:val="both"/>
      </w:pPr>
      <w:r>
        <w:rPr>
          <w:rFonts w:ascii="Calibri" w:hAnsi="Calibri"/>
          <w:b w:val="0"/>
          <w:i w:val="0"/>
          <w:sz w:val="22"/>
        </w:rPr>
        <w:t>(a) Provisional: al completar el 100% conforme acta. (b) Definitiva: 12 meses después, verificando subsanación de defectos. La Fianza de Conservación se libera tras la recepción definitiva.</w:t>
      </w:r>
    </w:p>
    <w:p>
      <w:pPr>
        <w:jc w:val="left"/>
      </w:pPr>
      <w:r>
        <w:rPr>
          <w:b/>
          <w:color w:val="2E4E7C"/>
          <w:sz w:val="22"/>
        </w:rPr>
        <w:t>DÉCIMA SEGUNDA: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TERCERA: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CUARTA: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QUINTA: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SEXTA: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SÉPTIMA: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OCTAVA: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REAJUSTE DE PRECIOS</w:t>
      </w:r>
    </w:p>
    <w:p>
      <w:pPr>
        <w:jc w:val="both"/>
      </w:pPr>
      <w:r>
        <w:rPr>
          <w:rFonts w:ascii="Calibri" w:hAnsi="Calibri"/>
          <w:b w:val="0"/>
          <w:i w:val="0"/>
          <w:sz w:val="22"/>
        </w:rPr>
        <w:t>Solo por causa fortuita o de fuerza mayor previa autorización.</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 CONTRATANTE</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Base legal: Ley de Contrataciones del Estado (Dto. 57-92) y su Reglamento.</w:t>
      </w:r>
    </w:p>
    <w:p>
      <w:pPr>
        <w:jc w:val="both"/>
      </w:pPr>
      <w:r>
        <w:rPr>
          <w:rFonts w:ascii="Calibri" w:hAnsi="Calibri"/>
          <w:b w:val="0"/>
          <w:i w:val="0"/>
          <w:sz w:val="21"/>
        </w:rPr>
        <w:t>• Modalidades: licitación pública (&gt;Q900,000 obras), cotización (Q90,000-Q900,000), compra directa (&lt;Q90,000) — verificar umbrales vigentes.</w:t>
      </w:r>
    </w:p>
    <w:p>
      <w:pPr>
        <w:jc w:val="both"/>
      </w:pPr>
      <w:r>
        <w:rPr>
          <w:rFonts w:ascii="Calibri" w:hAnsi="Calibri"/>
          <w:b w:val="0"/>
          <w:i w:val="0"/>
          <w:sz w:val="21"/>
        </w:rPr>
        <w:t>• Publicación obligatoria en GUATECOMPRAS.</w:t>
      </w:r>
    </w:p>
    <w:p>
      <w:pPr>
        <w:jc w:val="both"/>
      </w:pPr>
      <w:r>
        <w:rPr>
          <w:rFonts w:ascii="Calibri" w:hAnsi="Calibri"/>
          <w:b w:val="0"/>
          <w:i w:val="0"/>
          <w:sz w:val="21"/>
        </w:rPr>
        <w:t>• Inscripción del contratista en GUATECOMPRAS y Registro General de Adquisiciones.</w:t>
      </w:r>
    </w:p>
    <w:p>
      <w:pPr>
        <w:jc w:val="both"/>
      </w:pPr>
      <w:r>
        <w:rPr>
          <w:rFonts w:ascii="Calibri" w:hAnsi="Calibri"/>
          <w:b w:val="0"/>
          <w:i w:val="0"/>
          <w:sz w:val="21"/>
        </w:rPr>
        <w:t>• Aprobación: contratos &gt; umbral requieren refrendo del Ministerio de Finanzas y/o Contraloría.</w:t>
      </w:r>
    </w:p>
    <w:p>
      <w:pPr>
        <w:jc w:val="both"/>
      </w:pPr>
      <w:r>
        <w:rPr>
          <w:rFonts w:ascii="Calibri" w:hAnsi="Calibri"/>
          <w:b w:val="0"/>
          <w:i w:val="0"/>
          <w:sz w:val="21"/>
        </w:rPr>
        <w:t>• Anti-corrupción: Ley contra la Corrupción (Dto. 31-2012), normas de transparencia.</w:t>
      </w:r>
    </w:p>
    <w:p>
      <w:pPr>
        <w:jc w:val="both"/>
      </w:pPr>
      <w:r>
        <w:rPr>
          <w:rFonts w:ascii="Calibri" w:hAnsi="Calibri"/>
          <w:b w:val="0"/>
          <w:i w:val="0"/>
          <w:sz w:val="21"/>
        </w:rPr>
        <w:t>• Acta de inicio formal por el supervisor.</w:t>
      </w:r>
    </w:p>
    <w:p>
      <w:pPr>
        <w:jc w:val="both"/>
      </w:pPr>
      <w:r>
        <w:rPr>
          <w:rFonts w:ascii="Calibri" w:hAnsi="Calibri"/>
          <w:b w:val="0"/>
          <w:i w:val="0"/>
          <w:sz w:val="21"/>
        </w:rPr>
        <w:t>• Fiscalización: Contraloría General de Cuentas.</w:t>
      </w:r>
    </w:p>
    <w:p>
      <w:pPr>
        <w:jc w:val="both"/>
      </w:pPr>
      <w:r>
        <w:rPr>
          <w:rFonts w:ascii="Calibri" w:hAnsi="Calibri"/>
          <w:b w:val="0"/>
          <w:i w:val="0"/>
          <w:sz w:val="21"/>
        </w:rPr>
        <w:t>• Solución de controversias: jurisdicción de lo Contencioso Administrativo.</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[GUATECOMPRAS]</w:t>
            </w:r>
          </w:p>
        </w:tc>
        <w:tc>
          <w:tcPr>
            <w:tcW w:type="dxa" w:w="4703"/>
          </w:tcPr>
          <w:p>
            <w:r>
              <w:t>Sistema electrónico de contratación pública.</w:t>
            </w:r>
          </w:p>
        </w:tc>
      </w:tr>
    </w:tbl>
    <w:p/>
    <w:p>
      <w:pPr>
        <w:jc w:val="left"/>
      </w:pPr>
      <w:r>
        <w:rPr>
          <w:b/>
          <w:color w:val="1F3A5F"/>
          <w:sz w:val="26"/>
        </w:rPr>
        <w:t>CHECKLIST DE REQUISITOS Y DOCUMENTOS</w:t>
      </w:r>
    </w:p>
    <w:p>
      <w:r>
        <w:rPr>
          <w:rFonts w:ascii="Calibri" w:hAnsi="Calibri"/>
          <w:b w:val="0"/>
          <w:i w:val="0"/>
          <w:sz w:val="21"/>
        </w:rPr>
        <w:t>☐  Inscripción GUATECOMPRAS y RGAE</w:t>
      </w:r>
    </w:p>
    <w:p>
      <w:r>
        <w:rPr>
          <w:rFonts w:ascii="Calibri" w:hAnsi="Calibri"/>
          <w:b w:val="0"/>
          <w:i w:val="0"/>
          <w:sz w:val="21"/>
        </w:rPr>
        <w:t>☐  Estados financieros y referencias del contratista</w:t>
      </w:r>
    </w:p>
    <w:p>
      <w:r>
        <w:rPr>
          <w:rFonts w:ascii="Calibri" w:hAnsi="Calibri"/>
          <w:b w:val="0"/>
          <w:i w:val="0"/>
          <w:sz w:val="21"/>
        </w:rPr>
        <w:t>☐  Pliego de bases</w:t>
      </w:r>
    </w:p>
    <w:p>
      <w:r>
        <w:rPr>
          <w:rFonts w:ascii="Calibri" w:hAnsi="Calibri"/>
          <w:b w:val="0"/>
          <w:i w:val="0"/>
          <w:sz w:val="21"/>
        </w:rPr>
        <w:t>☐  Adjudicación publicada</w:t>
      </w:r>
    </w:p>
    <w:p>
      <w:r>
        <w:rPr>
          <w:rFonts w:ascii="Calibri" w:hAnsi="Calibri"/>
          <w:b w:val="0"/>
          <w:i w:val="0"/>
          <w:sz w:val="21"/>
        </w:rPr>
        <w:t>☐  Garantías constituidas</w:t>
      </w:r>
    </w:p>
    <w:p>
      <w:r>
        <w:rPr>
          <w:rFonts w:ascii="Calibri" w:hAnsi="Calibri"/>
          <w:b w:val="0"/>
          <w:i w:val="0"/>
          <w:sz w:val="21"/>
        </w:rPr>
        <w:t>☐  Aprobación presupuestaria</w:t>
      </w:r>
    </w:p>
    <w:p>
      <w:r>
        <w:rPr>
          <w:rFonts w:ascii="Calibri" w:hAnsi="Calibri"/>
          <w:b w:val="0"/>
          <w:i w:val="0"/>
          <w:sz w:val="21"/>
        </w:rPr>
        <w:t>☐  Acta de inicio</w:t>
      </w:r>
    </w:p>
    <w:p>
      <w:r>
        <w:rPr>
          <w:rFonts w:ascii="Calibri" w:hAnsi="Calibri"/>
          <w:b w:val="0"/>
          <w:i w:val="0"/>
          <w:sz w:val="21"/>
        </w:rPr>
        <w:t>☐  Bitácora de obra</w:t>
      </w:r>
    </w:p>
    <w:p>
      <w:r>
        <w:rPr>
          <w:rFonts w:ascii="Calibri" w:hAnsi="Calibri"/>
          <w:b w:val="0"/>
          <w:i w:val="0"/>
          <w:sz w:val="21"/>
        </w:rPr>
        <w:t>☐  Liquidación final</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