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POR EXCEPCIÓN</w:t>
      </w:r>
    </w:p>
    <w:p>
      <w:pPr>
        <w:jc w:val="center"/>
      </w:pPr>
      <w:r>
        <w:rPr>
          <w:rFonts w:ascii="Calibri" w:hAnsi="Calibri"/>
          <w:b w:val="0"/>
          <w:i/>
          <w:sz w:val="20"/>
        </w:rPr>
        <w:t>LCE — modalidad excepcional</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Causales de excepción del Art. 44 LCE: emergencia, único proveedor, secreto militar, etc.</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CAUSAL DE EXCEPCIÓN</w:t>
      </w:r>
    </w:p>
    <w:p>
      <w:pPr>
        <w:jc w:val="both"/>
      </w:pPr>
      <w:r>
        <w:rPr>
          <w:rFonts w:ascii="Calibri" w:hAnsi="Calibri"/>
          <w:b w:val="0"/>
          <w:i w:val="0"/>
          <w:sz w:val="22"/>
        </w:rPr>
        <w:t>Se contrata por excepción conforme al Art. 44, numeral [#] de la LCE: [CAUSAL — emergencia decretada, único proveedor, organismos internacionales, secreto, obras de arte, etc.]. Resolución de excepción [#] del [FECHA].</w:t>
      </w:r>
    </w:p>
    <w:p>
      <w:pPr>
        <w:jc w:val="left"/>
      </w:pPr>
      <w:r>
        <w:rPr>
          <w:b/>
          <w:color w:val="2E4E7C"/>
          <w:sz w:val="22"/>
        </w:rPr>
        <w:t>DÉCIMA PRIMERA: JUSTIFICACIÓN</w:t>
      </w:r>
    </w:p>
    <w:p>
      <w:pPr>
        <w:jc w:val="both"/>
      </w:pPr>
      <w:r>
        <w:rPr>
          <w:rFonts w:ascii="Calibri" w:hAnsi="Calibri"/>
          <w:b w:val="0"/>
          <w:i w:val="0"/>
          <w:sz w:val="22"/>
        </w:rPr>
        <w:t>Se acompaña justificación técnica, jurídica y financiera firmada por las autoridades competentes.</w:t>
      </w:r>
    </w:p>
    <w:p>
      <w:pPr>
        <w:jc w:val="left"/>
      </w:pPr>
      <w:r>
        <w:rPr>
          <w:b/>
          <w:color w:val="2E4E7C"/>
          <w:sz w:val="22"/>
        </w:rPr>
        <w:t>DÉCIMA SEGUNDA: OBJETO</w:t>
      </w:r>
    </w:p>
    <w:p>
      <w:pPr>
        <w:jc w:val="both"/>
      </w:pPr>
      <w:r>
        <w:rPr>
          <w:rFonts w:ascii="Calibri" w:hAnsi="Calibri"/>
          <w:b w:val="0"/>
          <w:i w:val="0"/>
          <w:sz w:val="22"/>
        </w:rPr>
        <w:t>[DESCRIPCIÓN]</w:t>
      </w:r>
    </w:p>
    <w:p>
      <w:pPr>
        <w:jc w:val="left"/>
      </w:pPr>
      <w:r>
        <w:rPr>
          <w:b/>
          <w:color w:val="2E4E7C"/>
          <w:sz w:val="22"/>
        </w:rPr>
        <w:t>DÉCIMA TERCERA: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CUARTA: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QUINTA: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SEXTA: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SÉPTIMA: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OCTAVA: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NOVENA: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EMERGENCIA</w:t>
      </w:r>
    </w:p>
    <w:p>
      <w:pPr>
        <w:jc w:val="both"/>
      </w:pPr>
      <w:r>
        <w:rPr>
          <w:rFonts w:ascii="Calibri" w:hAnsi="Calibri"/>
          <w:b w:val="0"/>
          <w:i w:val="0"/>
          <w:sz w:val="22"/>
        </w:rPr>
        <w:t>Solo aplicable durante vigencia de decreto de emergencia.</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CONTRATISTA</w:t>
        <w:br/>
        <w:t>[RAZÓN SOCIAL]</w:t>
      </w:r>
    </w:p>
    <w:p>
      <w:r>
        <w:br w:type="page"/>
      </w:r>
    </w:p>
    <w:p>
      <w:pPr>
        <w:jc w:val="left"/>
      </w:pPr>
      <w:r>
        <w:rPr>
          <w:b/>
          <w:color w:val="1F3A5F"/>
          <w:sz w:val="26"/>
        </w:rPr>
        <w:t>NOTAS LEGALES (Guatemala)</w:t>
      </w:r>
    </w:p>
    <w:p>
      <w:pPr>
        <w:jc w:val="both"/>
      </w:pPr>
      <w:r>
        <w:rPr>
          <w:rFonts w:ascii="Calibri" w:hAnsi="Calibri"/>
          <w:b w:val="0"/>
          <w:i w:val="0"/>
          <w:sz w:val="21"/>
        </w:rPr>
        <w:t>• Causales del Art. 44 LCE deben aplicarse restrictivamente.</w:t>
      </w:r>
    </w:p>
    <w:p>
      <w:pPr>
        <w:jc w:val="both"/>
      </w:pPr>
      <w:r>
        <w:rPr>
          <w:rFonts w:ascii="Calibri" w:hAnsi="Calibri"/>
          <w:b w:val="0"/>
          <w:i w:val="0"/>
          <w:sz w:val="21"/>
        </w:rPr>
        <w:t>• Documentación robusta para acreditar la causal.</w:t>
      </w:r>
    </w:p>
    <w:p>
      <w:pPr>
        <w:jc w:val="both"/>
      </w:pPr>
      <w:r>
        <w:rPr>
          <w:rFonts w:ascii="Calibri" w:hAnsi="Calibri"/>
          <w:b w:val="0"/>
          <w:i w:val="0"/>
          <w:sz w:val="21"/>
        </w:rPr>
        <w:t>• Fiscalización intensa de Contraloría.</w:t>
      </w:r>
    </w:p>
    <w:p>
      <w:pPr>
        <w:jc w:val="both"/>
      </w:pPr>
      <w:r>
        <w:rPr>
          <w:rFonts w:ascii="Calibri" w:hAnsi="Calibri"/>
          <w:b w:val="0"/>
          <w:i w:val="0"/>
          <w:sz w:val="21"/>
        </w:rPr>
        <w:t>• Riesgo de responsabilidad si se usa indebidamente.</w:t>
      </w:r>
    </w:p>
    <w:p>
      <w:pPr>
        <w:jc w:val="both"/>
      </w:pPr>
      <w:r>
        <w:rPr>
          <w:rFonts w:ascii="Calibri" w:hAnsi="Calibri"/>
          <w:b w:val="0"/>
          <w:i w:val="0"/>
          <w:sz w:val="21"/>
        </w:rPr>
        <w:t>• Publicación obligatoria post-contratación en GUATECOMPRAS.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[EXCEPCIÓN]</w:t>
            </w:r>
          </w:p>
        </w:tc>
        <w:tc>
          <w:tcPr>
            <w:tcW w:type="dxa" w:w="4703"/>
          </w:tcPr>
          <w:p>
            <w:r>
              <w:t>Modalidad sin proceso competitivo, justificada por causal estricta.</w:t>
            </w:r>
          </w:p>
        </w:tc>
      </w:tr>
    </w:tbl>
    <w:p/>
    <w:p>
      <w:pPr>
        <w:jc w:val="left"/>
      </w:pPr>
      <w:r>
        <w:rPr>
          <w:b/>
          <w:color w:val="1F3A5F"/>
          <w:sz w:val="26"/>
        </w:rPr>
        <w:t>CHECKLIST DE REQUISITOS Y DOCUMENTOS</w:t>
      </w:r>
    </w:p>
    <w:p>
      <w:r>
        <w:rPr>
          <w:rFonts w:ascii="Calibri" w:hAnsi="Calibri"/>
          <w:b w:val="0"/>
          <w:i w:val="0"/>
          <w:sz w:val="21"/>
        </w:rPr>
        <w:t>☐  Resolución de excepción</w:t>
      </w:r>
    </w:p>
    <w:p>
      <w:r>
        <w:rPr>
          <w:rFonts w:ascii="Calibri" w:hAnsi="Calibri"/>
          <w:b w:val="0"/>
          <w:i w:val="0"/>
          <w:sz w:val="21"/>
        </w:rPr>
        <w:t>☐  Dictámenes técnicos y legales</w:t>
      </w:r>
    </w:p>
    <w:p>
      <w:r>
        <w:rPr>
          <w:rFonts w:ascii="Calibri" w:hAnsi="Calibri"/>
          <w:b w:val="0"/>
          <w:i w:val="0"/>
          <w:sz w:val="21"/>
        </w:rPr>
        <w:t>☐  Justificación</w:t>
      </w:r>
    </w:p>
    <w:p>
      <w:r>
        <w:rPr>
          <w:rFonts w:ascii="Calibri" w:hAnsi="Calibri"/>
          <w:b w:val="0"/>
          <w:i w:val="0"/>
          <w:sz w:val="21"/>
        </w:rPr>
        <w:t>☐  Publicación</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