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SERVICIOS PROFESIONALES CON EL ESTADO</w:t>
      </w:r>
    </w:p>
    <w:p>
      <w:pPr>
        <w:jc w:val="center"/>
      </w:pPr>
      <w:r>
        <w:rPr>
          <w:rFonts w:ascii="Calibri" w:hAnsi="Calibri"/>
          <w:b w:val="0"/>
          <w:i/>
          <w:sz w:val="20"/>
        </w:rPr>
        <w:t>Conforme al Renglón 029 de Servicios Técnicos y Profesionales (LCE)</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[NOMBRE DEL CONSULTOR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Necesidad de servicios profesionales especializados por temporada determinada.</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SERVICIOS</w:t>
      </w:r>
    </w:p>
    <w:p>
      <w:pPr>
        <w:jc w:val="both"/>
      </w:pPr>
      <w:r>
        <w:rPr>
          <w:rFonts w:ascii="Calibri" w:hAnsi="Calibri"/>
          <w:b w:val="0"/>
          <w:i w:val="0"/>
          <w:sz w:val="22"/>
        </w:rPr>
        <w:t>EL CONTRATISTA prestará servicios profesionales de: [DETALLE: estudios, investigación, capacitación, supervisión, asesoría].</w:t>
      </w:r>
    </w:p>
    <w:p>
      <w:pPr>
        <w:jc w:val="left"/>
      </w:pPr>
      <w:r>
        <w:rPr>
          <w:b/>
          <w:color w:val="2E4E7C"/>
          <w:sz w:val="22"/>
        </w:rPr>
        <w:t>DÉCIMA PRIMERA: PRODUCTOS</w:t>
      </w:r>
    </w:p>
    <w:p>
      <w:pPr>
        <w:jc w:val="both"/>
      </w:pPr>
      <w:r>
        <w:rPr>
          <w:rFonts w:ascii="Calibri" w:hAnsi="Calibri"/>
          <w:b w:val="0"/>
          <w:i w:val="0"/>
          <w:sz w:val="22"/>
        </w:rPr>
        <w:t>Entregables: (a) [PRODUCTO 1]; (b) [PRODUCTO 2]. Aprobación previa al pago de cada hito.</w:t>
      </w:r>
    </w:p>
    <w:p>
      <w:pPr>
        <w:jc w:val="left"/>
      </w:pPr>
      <w:r>
        <w:rPr>
          <w:b/>
          <w:color w:val="2E4E7C"/>
          <w:sz w:val="22"/>
        </w:rPr>
        <w:t>DÉCIMA SEGUNDA: RELACIÓN NO LABORAL</w:t>
      </w:r>
    </w:p>
    <w:p>
      <w:pPr>
        <w:jc w:val="both"/>
      </w:pPr>
      <w:r>
        <w:rPr>
          <w:rFonts w:ascii="Calibri" w:hAnsi="Calibri"/>
          <w:b w:val="0"/>
          <w:i w:val="0"/>
          <w:sz w:val="22"/>
        </w:rPr>
        <w:t>El presente NO constituye relación laboral. EL CONTRATISTA presta servicios profesionales independientes con autonomía técnica, sin subordinación. NO tiene derecho a prestaciones laborales.</w:t>
      </w:r>
    </w:p>
    <w:p>
      <w:pPr>
        <w:jc w:val="left"/>
      </w:pPr>
      <w:r>
        <w:rPr>
          <w:b/>
          <w:color w:val="2E4E7C"/>
          <w:sz w:val="22"/>
        </w:rPr>
        <w:t>DÉCIMA TERCERA: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CUARTA: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QUINTA: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SEXTA: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SÉPTIMA: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OCTAVA: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NOVENA: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EXCLUSIVIDAD</w:t>
      </w:r>
    </w:p>
    <w:p>
      <w:pPr>
        <w:jc w:val="both"/>
      </w:pPr>
      <w:r>
        <w:rPr>
          <w:rFonts w:ascii="Calibri" w:hAnsi="Calibri"/>
          <w:b w:val="0"/>
          <w:i w:val="0"/>
          <w:sz w:val="22"/>
        </w:rPr>
        <w:t>Por la duración del contrato, EL CONTRATISTA no prestará servicios similares a otras entidades estatales.</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Renglón 029 (servicios técnicos y profesionales) — clasificación presupuestaria.</w:t>
      </w:r>
    </w:p>
    <w:p>
      <w:pPr>
        <w:jc w:val="both"/>
      </w:pPr>
      <w:r>
        <w:rPr>
          <w:rFonts w:ascii="Calibri" w:hAnsi="Calibri"/>
          <w:b w:val="0"/>
          <w:i w:val="0"/>
          <w:sz w:val="21"/>
        </w:rPr>
        <w:t>• CRÍTICO: si el servicio tiene subordinación, horario, exclusividad y dirección, puede recalificarse como relación laboral con responsabilidades patronales.</w:t>
      </w:r>
    </w:p>
    <w:p>
      <w:pPr>
        <w:jc w:val="both"/>
      </w:pPr>
      <w:r>
        <w:rPr>
          <w:rFonts w:ascii="Calibri" w:hAnsi="Calibri"/>
          <w:b w:val="0"/>
          <w:i w:val="0"/>
          <w:sz w:val="21"/>
        </w:rPr>
        <w:t>• Plazo máximo recomendado: un año, no renovable indefinidamente.</w:t>
      </w:r>
    </w:p>
    <w:p>
      <w:pPr>
        <w:jc w:val="both"/>
      </w:pPr>
      <w:r>
        <w:rPr>
          <w:rFonts w:ascii="Calibri" w:hAnsi="Calibri"/>
          <w:b w:val="0"/>
          <w:i w:val="0"/>
          <w:sz w:val="21"/>
        </w:rPr>
        <w:t>• Pago contra factura por servicios efectivamente prestados.</w:t>
      </w:r>
    </w:p>
    <w:p>
      <w:pPr>
        <w:jc w:val="both"/>
      </w:pPr>
      <w:r>
        <w:rPr>
          <w:rFonts w:ascii="Calibri" w:hAnsi="Calibri"/>
          <w:b w:val="0"/>
          <w:i w:val="0"/>
          <w:sz w:val="21"/>
        </w:rPr>
        <w:t>• Retención de ISR en la fuente conforme a régimen del consultor.</w:t>
      </w:r>
    </w:p>
    <w:p>
      <w:pPr>
        <w:jc w:val="both"/>
      </w:pPr>
      <w:r>
        <w:rPr>
          <w:rFonts w:ascii="Calibri" w:hAnsi="Calibri"/>
          <w:b w:val="0"/>
          <w:i w:val="0"/>
          <w:sz w:val="21"/>
        </w:rPr>
        <w:t>• Verificar colegiación profesional cuando aplica.</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[RENGLÓN 029]</w:t>
            </w:r>
          </w:p>
        </w:tc>
        <w:tc>
          <w:tcPr>
            <w:tcW w:type="dxa" w:w="4703"/>
          </w:tcPr>
          <w:p>
            <w:r>
              <w:t>Clasificación presupuestaria para servicios técnicos y profesionales.</w:t>
            </w:r>
          </w:p>
        </w:tc>
      </w:tr>
    </w:tbl>
    <w:p/>
    <w:p>
      <w:pPr>
        <w:jc w:val="left"/>
      </w:pPr>
      <w:r>
        <w:rPr>
          <w:b/>
          <w:color w:val="1F3A5F"/>
          <w:sz w:val="26"/>
        </w:rPr>
        <w:t>CHECKLIST DE REQUISITOS Y DOCUMENTOS</w:t>
      </w:r>
    </w:p>
    <w:p>
      <w:r>
        <w:rPr>
          <w:rFonts w:ascii="Calibri" w:hAnsi="Calibri"/>
          <w:b w:val="0"/>
          <w:i w:val="0"/>
          <w:sz w:val="21"/>
        </w:rPr>
        <w:t>☐  Curriculum del consultor</w:t>
      </w:r>
    </w:p>
    <w:p>
      <w:r>
        <w:rPr>
          <w:rFonts w:ascii="Calibri" w:hAnsi="Calibri"/>
          <w:b w:val="0"/>
          <w:i w:val="0"/>
          <w:sz w:val="21"/>
        </w:rPr>
        <w:t>☐  Términos de referencia</w:t>
      </w:r>
    </w:p>
    <w:p>
      <w:r>
        <w:rPr>
          <w:rFonts w:ascii="Calibri" w:hAnsi="Calibri"/>
          <w:b w:val="0"/>
          <w:i w:val="0"/>
          <w:sz w:val="21"/>
        </w:rPr>
        <w:t>☐  Plan de trabajo</w:t>
      </w:r>
    </w:p>
    <w:p>
      <w:r>
        <w:rPr>
          <w:rFonts w:ascii="Calibri" w:hAnsi="Calibri"/>
          <w:b w:val="0"/>
          <w:i w:val="0"/>
          <w:sz w:val="21"/>
        </w:rPr>
        <w:t>☐  Productos detallados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