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INTERINSTITUCIONAL DE COOPERACIÓN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Entre entidades del sector público — colaboración sin contraprestación económica directa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PRIMERA INSTITUCIÓN: [ENTIDAD], representada por [CARGO Y NOMBRE].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SEGUNDA INSTITUCIÓN: [ENTIDAD], representada por [CARGO Y NOMBRE].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Necesidad de coordinar esfuerzos institucionales en materia de [TEMA].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Cooperar mutuamente en [DETALLE — intercambio de información, capacitación, proyectos conjuntos, comisiones interinstitucionales].</w:t>
      </w:r>
    </w:p>
    <w:p>
      <w:pPr>
        <w:jc w:val="left"/>
      </w:pPr>
      <w:r>
        <w:rPr>
          <w:b/>
          <w:color w:val="2E4E7C"/>
          <w:sz w:val="22"/>
        </w:rPr>
        <w:t>SEGUNDA: COMPROMISOS DE PRIMERA INSTITUCIÓN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Proveer [...]; (b) facilitar [...].</w:t>
      </w:r>
    </w:p>
    <w:p>
      <w:pPr>
        <w:jc w:val="left"/>
      </w:pPr>
      <w:r>
        <w:rPr>
          <w:b/>
          <w:color w:val="2E4E7C"/>
          <w:sz w:val="22"/>
        </w:rPr>
        <w:t>TERCERA: COMPROMISOS DE SEGUNDA INSTITUCIÓN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[...]; (b) [...].</w:t>
      </w:r>
    </w:p>
    <w:p>
      <w:pPr>
        <w:jc w:val="left"/>
      </w:pPr>
      <w:r>
        <w:rPr>
          <w:b/>
          <w:color w:val="2E4E7C"/>
          <w:sz w:val="22"/>
        </w:rPr>
        <w:t>CUARTA: MECANISMO DE COORDINACIÓN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 mixta integrada por [#] miembros de cada institución, con reuniones [mensuales/trimestrales].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compartida tendrá tratamiento confidencial cuando corresponda a datos personales o reservados.</w:t>
      </w:r>
    </w:p>
    <w:p>
      <w:pPr>
        <w:jc w:val="left"/>
      </w:pPr>
      <w:r>
        <w:rPr>
          <w:b/>
          <w:color w:val="2E4E7C"/>
          <w:sz w:val="22"/>
        </w:rPr>
        <w:t>SEXTA: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años, prorrogable por acuerdo escrito.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CONVENIO MARCO + ANEXOS OPERATIVOS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Detalles específicos en anexos firmados periódicamente.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PRIMERA INSTITUCIÓN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SEGUNDA INSTITUCIÓN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Convenios interinstitucionales NO son contratos administrativos en sentido estricto (no hay contraprestación económica).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Suscripción por autoridades competentes según ley orgánica.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Ley de Acceso a la Información Pública (Dto. 57-2008).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involucra transferencia de recursos, sigue normas presupuestarias.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[CONVENIO INTERINSTITUCIONAL]</w:t>
            </w:r>
          </w:p>
        </w:tc>
        <w:tc>
          <w:tcPr>
            <w:tcW w:type="dxa" w:w="4703"/>
          </w:tcPr>
          <w:p>
            <w:r>
              <w:t>Acuerdo de cooperación entre entidades públicas.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Competencia de los firmantes</w:t>
      </w:r>
    </w:p>
    <w:p>
      <w:r>
        <w:rPr>
          <w:rFonts w:ascii="Calibri" w:hAnsi="Calibri"/>
          <w:b w:val="0"/>
          <w:i w:val="0"/>
          <w:sz w:val="21"/>
        </w:rPr>
        <w:t>☐  Definición de compromisos</w:t>
      </w:r>
    </w:p>
    <w:p>
      <w:r>
        <w:rPr>
          <w:rFonts w:ascii="Calibri" w:hAnsi="Calibri"/>
          <w:b w:val="0"/>
          <w:i w:val="0"/>
          <w:sz w:val="21"/>
        </w:rPr>
        <w:t>☐  Indicadores</w:t>
      </w:r>
    </w:p>
    <w:p>
      <w:r>
        <w:rPr>
          <w:rFonts w:ascii="Calibri" w:hAnsi="Calibri"/>
          <w:b w:val="0"/>
          <w:i w:val="0"/>
          <w:sz w:val="21"/>
        </w:rPr>
        <w:t>☐  Comisión coordinadora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