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PÚBLICO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766-793) y normas presupuestarias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FIDEICOMITENTE: [ENTIDAD PÚBLICA], representada por [CARGO Y NOMBRE].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FIDUCIARIO: [BANCO O FINANCIERA] autorizado por SIB, representado por [CARGO Y NOMBRE].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Necesidad de canalizar recursos públicos para fines determinados a través de fideicomiso.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FINES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Fideicomiso para administrar Q[MONTO] del [PRESUPUESTO] destinado a [FINES ESPECÍFICOS: infraestructura, programa social, etc.].</w:t>
      </w:r>
    </w:p>
    <w:p>
      <w:pPr>
        <w:jc w:val="left"/>
      </w:pPr>
      <w:r>
        <w:rPr>
          <w:b/>
          <w:color w:val="2E4E7C"/>
          <w:sz w:val="22"/>
        </w:rPr>
        <w:t>SEGUNDA: APORTACIÓN AL PATRIMONIO FIDEICOMETIDO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FIDEICOMITENTE transfiere al patrimonio fideicometido Q[MONTO INICIAL] + aportes periódicos según presupuesto.</w:t>
      </w:r>
    </w:p>
    <w:p>
      <w:pPr>
        <w:jc w:val="left"/>
      </w:pPr>
      <w:r>
        <w:rPr>
          <w:b/>
          <w:color w:val="2E4E7C"/>
          <w:sz w:val="22"/>
        </w:rPr>
        <w:t>TERCERA: BENEFICIARIOS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Beneficiarios: [DEFINIR — directos: proyectos; indirectos: población objetivo].</w:t>
      </w:r>
    </w:p>
    <w:p>
      <w:pPr>
        <w:jc w:val="left"/>
      </w:pPr>
      <w:r>
        <w:rPr>
          <w:b/>
          <w:color w:val="2E4E7C"/>
          <w:sz w:val="22"/>
        </w:rPr>
        <w:t>CUARTA: ADMINISTRACIÓN POR EL FIDUCIARIO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FIDUCIARIO administrará conforme a Reglamento Operativo aprobado, con criterios técnicos y de máxima eficiencia.</w:t>
      </w:r>
    </w:p>
    <w:p>
      <w:pPr>
        <w:jc w:val="left"/>
      </w:pPr>
      <w:r>
        <w:rPr>
          <w:b/>
          <w:color w:val="2E4E7C"/>
          <w:sz w:val="22"/>
        </w:rPr>
        <w:t>QUINTA: COMITÉ TÉCNICO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Conformado por representantes del FIDEICOMITENTE y técnicos, aprueba proyectos y supervisa ejecución.</w:t>
      </w:r>
    </w:p>
    <w:p>
      <w:pPr>
        <w:jc w:val="left"/>
      </w:pPr>
      <w:r>
        <w:rPr>
          <w:b/>
          <w:color w:val="2E4E7C"/>
          <w:sz w:val="22"/>
        </w:rPr>
        <w:t>SEXTA: HONORARIOS DEL FIDUCIARIO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fiduciaria de [#]% anual sobre el patrimonio.</w:t>
      </w:r>
    </w:p>
    <w:p>
      <w:pPr>
        <w:jc w:val="left"/>
      </w:pPr>
      <w:r>
        <w:rPr>
          <w:b/>
          <w:color w:val="2E4E7C"/>
          <w:sz w:val="22"/>
        </w:rPr>
        <w:t>SÉPTIMA: FISCALIZACIÓN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Contraloría General de Cuentas, Auditoría Interna, Auditoría Externa anual.</w:t>
      </w:r>
    </w:p>
    <w:p>
      <w:pPr>
        <w:jc w:val="left"/>
      </w:pPr>
      <w:r>
        <w:rPr>
          <w:b/>
          <w:color w:val="2E4E7C"/>
          <w:sz w:val="22"/>
        </w:rPr>
        <w:t>OCTAVA: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años. Al término, los remanentes vuelven al FIDEICOMITENTE.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FIDEICOMISO MIXTO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Combinación de recursos públicos y privados (donaciones, cooperación).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FIDEICOMITENTE (Entidad Pública)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FIDUCIARIO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Código de Comercio Arts. 766-793 + normas presupuestarias.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bancos y financieras autorizadas por SIB pueden ser fiduciarios.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Fideicomisos públicos: máxima transparencia. Acceso a la información (Dto. 57-2008).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Auditoría obligatoria por Contraloría General de Cuentas.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operativo aprobado por las partes.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normas presupuestarias y de transparencia.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[FIDEICOMISO PÚBLICO]</w:t>
            </w:r>
          </w:p>
        </w:tc>
        <w:tc>
          <w:tcPr>
            <w:tcW w:type="dxa" w:w="4703"/>
          </w:tcPr>
          <w:p>
            <w:r>
              <w:t>Vehículo para administrar recursos públicos.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Aprobación presupuestaria</w:t>
      </w:r>
    </w:p>
    <w:p>
      <w:r>
        <w:rPr>
          <w:rFonts w:ascii="Calibri" w:hAnsi="Calibri"/>
          <w:b w:val="0"/>
          <w:i w:val="0"/>
          <w:sz w:val="21"/>
        </w:rPr>
        <w:t>☐  Selección competitiva del fiduciario</w:t>
      </w:r>
    </w:p>
    <w:p>
      <w:r>
        <w:rPr>
          <w:rFonts w:ascii="Calibri" w:hAnsi="Calibri"/>
          <w:b w:val="0"/>
          <w:i w:val="0"/>
          <w:sz w:val="21"/>
        </w:rPr>
        <w:t>☐  Reglamento operativo</w:t>
      </w:r>
    </w:p>
    <w:p>
      <w:r>
        <w:rPr>
          <w:rFonts w:ascii="Calibri" w:hAnsi="Calibri"/>
          <w:b w:val="0"/>
          <w:i w:val="0"/>
          <w:sz w:val="21"/>
        </w:rPr>
        <w:t>☐  Inscripción RM</w:t>
      </w:r>
    </w:p>
    <w:p>
      <w:r>
        <w:rPr>
          <w:rFonts w:ascii="Calibri" w:hAnsi="Calibri"/>
          <w:b w:val="0"/>
          <w:i w:val="0"/>
          <w:sz w:val="21"/>
        </w:rPr>
        <w:t>☐  Plan de auditoría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