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ESTUDIO DE IMPACTO AMBIENTAL (EIA)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Protección Mejoramiento del Medio Ambiente (Dto. 68-86) y Reglamento de Evaluación, Control y Seguimiento Ambiental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EMPRESA CONSULTORA AMBIENTAL'.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PROMOTOR DEL PROYECTO'.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Elaboración de EIA para obtención de Licencia Ambiental.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Preparación de [EIA Categoría A/B] del proyecto [NOMBRE] conforme al Listado Taxativo.</w:t>
      </w:r>
    </w:p>
    <w:p>
      <w:pPr>
        <w:jc w:val="left"/>
      </w:pPr>
      <w:r>
        <w:rPr>
          <w:b/>
          <w:color w:val="2E4E7C"/>
          <w:sz w:val="22"/>
        </w:rPr>
        <w:t>SEGUNDA: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Línea base; identificación impactos; medidas de mitigación; plan de gestión ambiental; consultas comunitarias.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meses.</w:t>
      </w:r>
    </w:p>
    <w:p>
      <w:pPr>
        <w:jc w:val="left"/>
      </w:pPr>
      <w:r>
        <w:rPr>
          <w:b/>
          <w:color w:val="2E4E7C"/>
          <w:sz w:val="22"/>
        </w:rPr>
        <w:t>CUARTA: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+ gastos de campo y laboratorio.</w:t>
      </w:r>
    </w:p>
    <w:p>
      <w:pPr>
        <w:jc w:val="left"/>
      </w:pPr>
      <w:r>
        <w:rPr>
          <w:b/>
          <w:color w:val="2E4E7C"/>
          <w:sz w:val="22"/>
        </w:rPr>
        <w:t>QUINTA: CONSULTOR INSCRITO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Empresa inscrita en el Registro de Consultores Ambientales del MARN.</w:t>
      </w:r>
    </w:p>
    <w:p>
      <w:pPr>
        <w:jc w:val="left"/>
      </w:pPr>
      <w:r>
        <w:rPr>
          <w:b/>
          <w:color w:val="2E4E7C"/>
          <w:sz w:val="22"/>
        </w:rPr>
        <w:t>SEXTA: ENTREGABLE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Documento EIA para presentación al MARN; acompañamiento en revisión.</w:t>
      </w:r>
    </w:p>
    <w:p>
      <w:pPr>
        <w:jc w:val="left"/>
      </w:pPr>
      <w:r>
        <w:rPr>
          <w:b/>
          <w:color w:val="2E4E7C"/>
          <w:sz w:val="22"/>
        </w:rPr>
        <w:t>SÉPTIMA: RESPONSABILIDAD PROFESIONAL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Consultor responde por contenido técnico; promotor por información del proyecto.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EIA + AUDITORÍA AMBIENTAL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activos existentes.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CONSULTORA AMBIENTAL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PROMOTOR DEL PROYECTO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Protección Mejoramiento del Medio Ambiente Dto. 68-86.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 (Acuerdo Gubernativo 137-2016).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Listado Taxativo define categoría A (más estricto), B, 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Categoría A: requiere EIA completo con consultas públicas.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Licencia Ambiental otorgada por MARN.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afecta pueblos indígenas: Convenio 169 OIT.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[EIA]</w:t>
            </w:r>
          </w:p>
        </w:tc>
        <w:tc>
          <w:tcPr>
            <w:tcW w:type="dxa" w:w="4703"/>
          </w:tcPr>
          <w:p>
            <w:r>
              <w:t>Estudio de Impacto Ambiental.</w:t>
            </w:r>
          </w:p>
        </w:tc>
      </w:tr>
      <w:tr>
        <w:tc>
          <w:tcPr>
            <w:tcW w:type="dxa" w:w="4703"/>
          </w:tcPr>
          <w:p>
            <w:r>
              <w:t>[MARN]</w:t>
            </w:r>
          </w:p>
        </w:tc>
        <w:tc>
          <w:tcPr>
            <w:tcW w:type="dxa" w:w="4703"/>
          </w:tcPr>
          <w:p>
            <w:r>
              <w:t>Ministerio de Ambiente y Recursos Naturales.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Consultor inscrito MARN</w:t>
      </w:r>
    </w:p>
    <w:p>
      <w:r>
        <w:rPr>
          <w:rFonts w:ascii="Calibri" w:hAnsi="Calibri"/>
          <w:b w:val="0"/>
          <w:i w:val="0"/>
          <w:sz w:val="21"/>
        </w:rPr>
        <w:t>☐  Equipo multidisciplinario</w:t>
      </w:r>
    </w:p>
    <w:p>
      <w:r>
        <w:rPr>
          <w:rFonts w:ascii="Calibri" w:hAnsi="Calibri"/>
          <w:b w:val="0"/>
          <w:i w:val="0"/>
          <w:sz w:val="21"/>
        </w:rPr>
        <w:t>☐  Plan de consultas</w:t>
      </w:r>
    </w:p>
    <w:p>
      <w:r>
        <w:rPr>
          <w:rFonts w:ascii="Calibri" w:hAnsi="Calibri"/>
          <w:b w:val="0"/>
          <w:i w:val="0"/>
          <w:sz w:val="21"/>
        </w:rPr>
        <w:t>☐  Análisis de alternativas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