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ACUERDO DE COMPENSACIÓN AMBIENTAL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Marco regulatorio MARN — Compensaciones por Impactos Ambientales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PROMOTOR'.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MARN / TERCERO BENEFICIARIO'.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Compensar impactos ambientales del proyecto mediante acciones equivalentes.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IMPACTOS A COMPENSAR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[Pérdida de cobertura forestal / drenaje de humedales / etc.]</w:t>
      </w:r>
    </w:p>
    <w:p>
      <w:pPr>
        <w:jc w:val="left"/>
      </w:pPr>
      <w:r>
        <w:rPr>
          <w:b/>
          <w:color w:val="2E4E7C"/>
          <w:sz w:val="22"/>
        </w:rPr>
        <w:t>SEGUNDA: MEDIDAS DE COMPENSACIÓN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Reforestación de [#] hectáreas; conservación de [#] hectáreas; restauración de [#] hectáreas.</w:t>
      </w:r>
    </w:p>
    <w:p>
      <w:pPr>
        <w:jc w:val="left"/>
      </w:pPr>
      <w:r>
        <w:rPr>
          <w:b/>
          <w:color w:val="2E4E7C"/>
          <w:sz w:val="22"/>
        </w:rPr>
        <w:t>TERCERA: UBICACIÓN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[ÁREA — preferiblemente cuenca o ecosistema similar al impactado]</w:t>
      </w:r>
    </w:p>
    <w:p>
      <w:pPr>
        <w:jc w:val="left"/>
      </w:pPr>
      <w:r>
        <w:rPr>
          <w:b/>
          <w:color w:val="2E4E7C"/>
          <w:sz w:val="22"/>
        </w:rPr>
        <w:t>CUARTA: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años de monitoreo.</w:t>
      </w:r>
    </w:p>
    <w:p>
      <w:pPr>
        <w:jc w:val="left"/>
      </w:pPr>
      <w:r>
        <w:rPr>
          <w:b/>
          <w:color w:val="2E4E7C"/>
          <w:sz w:val="22"/>
        </w:rPr>
        <w:t>QUINTA: MONITOREO Y VERIFICACIÓN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Inspecciones MARN; reportes anuales.</w:t>
      </w:r>
    </w:p>
    <w:p>
      <w:pPr>
        <w:jc w:val="left"/>
      </w:pPr>
      <w:r>
        <w:rPr>
          <w:b/>
          <w:color w:val="2E4E7C"/>
          <w:sz w:val="22"/>
        </w:rPr>
        <w:t>SEXTA: GARANTÍA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Bond ambiental para asegurar cumplimiento.</w:t>
      </w:r>
    </w:p>
    <w:p>
      <w:pPr>
        <w:jc w:val="left"/>
      </w:pPr>
      <w:r>
        <w:rPr>
          <w:b/>
          <w:color w:val="2E4E7C"/>
          <w:sz w:val="22"/>
        </w:rPr>
        <w:t>SÉPTIMA: FRACASO EN COMPENSACIÓN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Pago en efectivo al Fondo de Compensación Ambiental.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BANCO DE HÁBITAT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Compensación pre-establecida por terceros.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PROMOTOR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MARN / TERCERO BENEFICIARIO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Compensaciones requeridas en EIA para proyectos categoría 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Principio: 'no pérdida neta de biodiversidad'.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Compensación in-kind &gt; compensación monetaria.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Cuidar adicionalidad.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[NO NET LOSS]</w:t>
            </w:r>
          </w:p>
        </w:tc>
        <w:tc>
          <w:tcPr>
            <w:tcW w:type="dxa" w:w="4703"/>
          </w:tcPr>
          <w:p>
            <w:r>
              <w:t>No pérdida neta de biodiversidad.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Identificación de impactos residuales</w:t>
      </w:r>
    </w:p>
    <w:p>
      <w:r>
        <w:rPr>
          <w:rFonts w:ascii="Calibri" w:hAnsi="Calibri"/>
          <w:b w:val="0"/>
          <w:i w:val="0"/>
          <w:sz w:val="21"/>
        </w:rPr>
        <w:t>☐  Plan de compensación</w:t>
      </w:r>
    </w:p>
    <w:p>
      <w:r>
        <w:rPr>
          <w:rFonts w:ascii="Calibri" w:hAnsi="Calibri"/>
          <w:b w:val="0"/>
          <w:i w:val="0"/>
          <w:sz w:val="21"/>
        </w:rPr>
        <w:t>☐  Garantía</w:t>
      </w:r>
    </w:p>
    <w:p>
      <w:r>
        <w:rPr>
          <w:rFonts w:ascii="Calibri" w:hAnsi="Calibri"/>
          <w:b w:val="0"/>
          <w:i w:val="0"/>
          <w:sz w:val="21"/>
        </w:rPr>
        <w:t>☐  Cronograma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