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CONCESIÓN FORESTAL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Ley Forestal (Decreto 101-96) y Ley de Áreas Protegidas (Decreto 4-89)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ESTADO (CONAP/INAB)'.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CONCESIONARIO'.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Aprovechamiento sostenible de bosque comunitario o estatal.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ÁREA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Polígono georreferenciado de [#] hectáreas en [REGIÓN — Reserva Biósfera Maya].</w:t>
      </w:r>
    </w:p>
    <w:p>
      <w:pPr>
        <w:jc w:val="left"/>
      </w:pPr>
      <w:r>
        <w:rPr>
          <w:b/>
          <w:color w:val="2E4E7C"/>
          <w:sz w:val="22"/>
        </w:rPr>
        <w:t>SEGUNDA: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años, prorrogables.</w:t>
      </w:r>
    </w:p>
    <w:p>
      <w:pPr>
        <w:jc w:val="left"/>
      </w:pPr>
      <w:r>
        <w:rPr>
          <w:b/>
          <w:color w:val="2E4E7C"/>
          <w:sz w:val="22"/>
        </w:rPr>
        <w:t>TERCERA: APROVECHAMIENTO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Volumen anual permitido; especies; ciclo de corta sostenible.</w:t>
      </w:r>
    </w:p>
    <w:p>
      <w:pPr>
        <w:jc w:val="left"/>
      </w:pPr>
      <w:r>
        <w:rPr>
          <w:b/>
          <w:color w:val="2E4E7C"/>
          <w:sz w:val="22"/>
        </w:rPr>
        <w:t>CUARTA: PLAN DE MANEJO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Aprobado por CONAP/INAB; certificación FSC recomendable.</w:t>
      </w:r>
    </w:p>
    <w:p>
      <w:pPr>
        <w:jc w:val="left"/>
      </w:pPr>
      <w:r>
        <w:rPr>
          <w:b/>
          <w:color w:val="2E4E7C"/>
          <w:sz w:val="22"/>
        </w:rPr>
        <w:t>QUINTA: REGALÍAS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[#]% del valor de comercialización.</w:t>
      </w:r>
    </w:p>
    <w:p>
      <w:pPr>
        <w:jc w:val="left"/>
      </w:pPr>
      <w:r>
        <w:rPr>
          <w:b/>
          <w:color w:val="2E4E7C"/>
          <w:sz w:val="22"/>
        </w:rPr>
        <w:t>SEXTA: OBLIGACIONES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Manejo sostenible; protección contra incendios e invasores; beneficios a comunidad.</w:t>
      </w:r>
    </w:p>
    <w:p>
      <w:pPr>
        <w:jc w:val="left"/>
      </w:pPr>
      <w:r>
        <w:rPr>
          <w:b/>
          <w:color w:val="2E4E7C"/>
          <w:sz w:val="22"/>
        </w:rPr>
        <w:t>SÉPTIMA: AUDITORÍAS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Anuales por CONAP/INAB.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CONCESIÓN COMUNITARIA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Otorgada a comunidad organizada.</w:t>
      </w:r>
    </w:p>
    <w:p>
      <w:pPr>
        <w:jc w:val="left"/>
      </w:pPr>
      <w:r>
        <w:rPr>
          <w:b/>
          <w:color w:val="2E4E7C"/>
          <w:sz w:val="22"/>
        </w:rPr>
        <w:t>[OPCIONAL] CERTIFICACIÓN FSC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Para acceso a mercados premium.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ESTADO (CONAP/INAB)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CONCESIONARIO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Aplicación principal: Reserva de la Biósfera Maya (Petén) — concesiones comunitarias.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Modelo exitoso a nivel internacional.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Certificación FSC común.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Beneficiarios: comunidades organizadas o empresas.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[CONAP]</w:t>
            </w:r>
          </w:p>
        </w:tc>
        <w:tc>
          <w:tcPr>
            <w:tcW w:type="dxa" w:w="4703"/>
          </w:tcPr>
          <w:p>
            <w:r>
              <w:t>Consejo Nacional de Áreas Protegidas.</w:t>
            </w:r>
          </w:p>
        </w:tc>
      </w:tr>
      <w:tr>
        <w:tc>
          <w:tcPr>
            <w:tcW w:type="dxa" w:w="4703"/>
          </w:tcPr>
          <w:p>
            <w:r>
              <w:t>[FSC]</w:t>
            </w:r>
          </w:p>
        </w:tc>
        <w:tc>
          <w:tcPr>
            <w:tcW w:type="dxa" w:w="4703"/>
          </w:tcPr>
          <w:p>
            <w:r>
              <w:t>Forest Stewardship Council.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Personería de la comunidad/empresa</w:t>
      </w:r>
    </w:p>
    <w:p>
      <w:r>
        <w:rPr>
          <w:rFonts w:ascii="Calibri" w:hAnsi="Calibri"/>
          <w:b w:val="0"/>
          <w:i w:val="0"/>
          <w:sz w:val="21"/>
        </w:rPr>
        <w:t>☐  Capacidad técnica</w:t>
      </w:r>
    </w:p>
    <w:p>
      <w:r>
        <w:rPr>
          <w:rFonts w:ascii="Calibri" w:hAnsi="Calibri"/>
          <w:b w:val="0"/>
          <w:i w:val="0"/>
          <w:sz w:val="21"/>
        </w:rPr>
        <w:t>☐  Plan de manejo</w:t>
      </w:r>
    </w:p>
    <w:p>
      <w:r>
        <w:rPr>
          <w:rFonts w:ascii="Calibri" w:hAnsi="Calibri"/>
          <w:b w:val="0"/>
          <w:i w:val="0"/>
          <w:sz w:val="21"/>
        </w:rPr>
        <w:t>☐  Estudios sociales</w:t>
      </w:r>
    </w:p>
    <w:p>
      <w:r>
        <w:rPr>
          <w:rFonts w:ascii="Calibri" w:hAnsi="Calibri"/>
          <w:b w:val="0"/>
          <w:i w:val="0"/>
          <w:sz w:val="21"/>
        </w:rPr>
        <w:t>☐  Beneficios comunitarios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