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REMEDIACIÓN AMBIENTAL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Ley 68-86 y normativa MARN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'EL RESPONSABLE'.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'LA EMPRESA REMEDIADORA'.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Restauración de sitio contaminado a estándares aceptables.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SITIO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[DESCRIPCIÓN — área impactada, tipo de contaminación]</w:t>
      </w:r>
    </w:p>
    <w:p>
      <w:pPr>
        <w:jc w:val="left"/>
      </w:pPr>
      <w:r>
        <w:rPr>
          <w:b/>
          <w:color w:val="2E4E7C"/>
          <w:sz w:val="22"/>
        </w:rPr>
        <w:t>SEGUNDA: CONTAMINANTES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[Hidrocarburos / metales / químicos]</w:t>
      </w:r>
    </w:p>
    <w:p>
      <w:pPr>
        <w:jc w:val="left"/>
      </w:pPr>
      <w:r>
        <w:rPr>
          <w:b/>
          <w:color w:val="2E4E7C"/>
          <w:sz w:val="22"/>
        </w:rPr>
        <w:t>TERCERA: OBJETIVOS DE REMEDIACIÓN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Niveles a alcanzar conforme a estándares MARN.</w:t>
      </w:r>
    </w:p>
    <w:p>
      <w:pPr>
        <w:jc w:val="left"/>
      </w:pPr>
      <w:r>
        <w:rPr>
          <w:b/>
          <w:color w:val="2E4E7C"/>
          <w:sz w:val="22"/>
        </w:rPr>
        <w:t>CUARTA: TECNOLOGÍA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[Bombeo y tratamiento / biorremediación / excavación / contención]</w:t>
      </w:r>
    </w:p>
    <w:p>
      <w:pPr>
        <w:jc w:val="left"/>
      </w:pPr>
      <w:r>
        <w:rPr>
          <w:b/>
          <w:color w:val="2E4E7C"/>
          <w:sz w:val="22"/>
        </w:rPr>
        <w:t>QUINTA: PLAZO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[#] meses.</w:t>
      </w:r>
    </w:p>
    <w:p>
      <w:pPr>
        <w:jc w:val="left"/>
      </w:pPr>
      <w:r>
        <w:rPr>
          <w:b/>
          <w:color w:val="2E4E7C"/>
          <w:sz w:val="22"/>
        </w:rPr>
        <w:t>SEXTA: MONITOREO POST-REMEDIACIÓN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[#] años de monitoreo confirmatorio.</w:t>
      </w:r>
    </w:p>
    <w:p>
      <w:pPr>
        <w:jc w:val="left"/>
      </w:pPr>
      <w:r>
        <w:rPr>
          <w:b/>
          <w:color w:val="2E4E7C"/>
          <w:sz w:val="22"/>
        </w:rPr>
        <w:t>SÉPTIMA: CERTIFICACIÓN MARN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Verificación final del MARN.</w:t>
      </w:r>
    </w:p>
    <w:p>
      <w:pPr>
        <w:jc w:val="left"/>
      </w:pPr>
      <w:r>
        <w:rPr>
          <w:b/>
          <w:color w:val="2E4E7C"/>
          <w:sz w:val="22"/>
        </w:rPr>
        <w:t>OCTAVA: RESPONSABILIDAD CONTINUA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Si reaparece contaminación, remediadora actúa.</w:t>
      </w:r>
    </w:p>
    <w:p>
      <w:pPr>
        <w:jc w:val="left"/>
      </w:pPr>
      <w:r>
        <w:rPr>
          <w:b/>
          <w:color w:val="2E4E7C"/>
          <w:sz w:val="22"/>
        </w:rPr>
        <w:t>NOVENA: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DÉCIMA: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 PRIMERA: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SEGUNDA: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TERCERA: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CUARTA: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QUINTA: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FONDO DE GARANTÍA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Depósito en escrow durante el monitoreo.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RESPONSABLE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LA EMPRESA REMEDIADORA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Pasivos ambientales: responsabilidad del responsable original.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Solidaridad de propietarios y operadores.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Estándares MARN para suelos y aguas.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Monitoreo continuo esencial.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[REMEDIACIÓN]</w:t>
            </w:r>
          </w:p>
        </w:tc>
        <w:tc>
          <w:tcPr>
            <w:tcW w:type="dxa" w:w="4703"/>
          </w:tcPr>
          <w:p>
            <w:r>
              <w:t>Restauración ambiental.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Caracterización del sitio</w:t>
      </w:r>
    </w:p>
    <w:p>
      <w:r>
        <w:rPr>
          <w:rFonts w:ascii="Calibri" w:hAnsi="Calibri"/>
          <w:b w:val="0"/>
          <w:i w:val="0"/>
          <w:sz w:val="21"/>
        </w:rPr>
        <w:t>☐  Análisis de riesgo</w:t>
      </w:r>
    </w:p>
    <w:p>
      <w:r>
        <w:rPr>
          <w:rFonts w:ascii="Calibri" w:hAnsi="Calibri"/>
          <w:b w:val="0"/>
          <w:i w:val="0"/>
          <w:sz w:val="21"/>
        </w:rPr>
        <w:t>☐  Tecnología comprobada</w:t>
      </w:r>
    </w:p>
    <w:p>
      <w:r>
        <w:rPr>
          <w:rFonts w:ascii="Calibri" w:hAnsi="Calibri"/>
          <w:b w:val="0"/>
          <w:i w:val="0"/>
          <w:sz w:val="21"/>
        </w:rPr>
        <w:t>☐  Plan de monitoreo</w:t>
      </w:r>
    </w:p>
    <w:p>
      <w:r>
        <w:rPr>
          <w:rFonts w:ascii="Calibri" w:hAnsi="Calibri"/>
          <w:b w:val="0"/>
          <w:i w:val="0"/>
          <w:sz w:val="21"/>
        </w:rPr>
        <w:t>☐  Garantías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