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3A5F"/>
          <w:sz w:val="32"/>
        </w:rPr>
        <w:t>CONTRATO DE SERVICIOS AMBIENTALES PINPEP/PROBOSQUE</w:t>
      </w:r>
    </w:p>
    <w:p>
      <w:pPr>
        <w:jc w:val="center"/>
      </w:pPr>
      <w:r>
        <w:rPr>
          <w:rFonts w:ascii="Calibri" w:hAnsi="Calibri"/>
          <w:b w:val="0"/>
          <w:i/>
          <w:sz w:val="20"/>
        </w:rPr>
        <w:t>Conforme a Ley PINPEP (Decreto 51-2010) o Ley PROBOSQUE (Decreto 2-2015)</w:t>
      </w:r>
    </w:p>
    <w:p/>
    <w:p>
      <w:pPr>
        <w:jc w:val="left"/>
      </w:pPr>
      <w:r>
        <w:rPr>
          <w:b/>
          <w:color w:val="1F3A5F"/>
          <w:sz w:val="26"/>
        </w:rPr>
        <w:t>COMPARECIENTES</w:t>
      </w:r>
    </w:p>
    <w:p>
      <w:pPr>
        <w:jc w:val="both"/>
      </w:pPr>
      <w:r>
        <w:rPr>
          <w:rFonts w:ascii="Calibri" w:hAnsi="Calibri"/>
          <w:b w:val="0"/>
          <w:i w:val="0"/>
          <w:sz w:val="22"/>
        </w:rPr>
        <w:t>POR UNA PARTE, [RAZÓN SOCIAL], sociedad [TIPO: anónima / de responsabilidad limitada] organizada conforme a las leyes de Guatemala, con domicilio en [DIRECCIÓN], inscrita en el Registro Mercantil General de la República al número [#], folio [#], del libro [#] de [Sociedades / Comerciantes], NIT [NIT], patente de comercio número [#], representada en este acto por [NOMBRE DEL REPRESENTANTE LEGAL], de [EDAD] años, [ESTADO CIVIL], [NACIONALIDAD], [PROFESIÓN], identificado con DPI [DPI], quien acredita su personería con [acta notarial de nombramiento / mandato] de fecha [FECHA], autorizada por el Notario [NOMBRE], inscrita en el Registro Mercantil al número [#], folio [#], del libro [#] de Auxiliares de Comercio; a quien en lo sucesivo se denominará 'EL INAB'.</w:t>
      </w:r>
    </w:p>
    <w:p>
      <w:pPr>
        <w:jc w:val="both"/>
      </w:pPr>
      <w:r>
        <w:rPr>
          <w:rFonts w:ascii="Calibri" w:hAnsi="Calibri"/>
          <w:b w:val="0"/>
          <w:i w:val="0"/>
          <w:sz w:val="22"/>
        </w:rPr>
        <w:t>Y POR LA OTRA PARTE, [RAZÓN SOCIAL], sociedad [TIPO] con domicilio en [DIRECCIÓN], inscrita en el Registro Mercantil al número [#], folio [#], libro [#], NIT [NIT], representada por [NOMBRE], DPI [DPI], según [acta notarial / mandato] de fecha [FECHA], inscrita al número [#], folio [#], libro [#]; a quien se denominará 'EL BENEFICIARIO PROPIETARIO/POSEEDOR'.</w:t>
      </w:r>
    </w:p>
    <w:p>
      <w:pPr>
        <w:jc w:val="both"/>
      </w:pPr>
      <w:r>
        <w:rPr>
          <w:rFonts w:ascii="Calibri" w:hAnsi="Calibri"/>
          <w:b w:val="0"/>
          <w:i w:val="0"/>
          <w:sz w:val="22"/>
        </w:rPr>
        <w:t>Ambas partes, por medio de sus representantes legales y con las facultades necesarias, convienen lo siguiente.</w:t>
      </w:r>
    </w:p>
    <w:p/>
    <w:p>
      <w:pPr>
        <w:jc w:val="left"/>
      </w:pPr>
      <w:r>
        <w:rPr>
          <w:b/>
          <w:color w:val="1F3A5F"/>
          <w:sz w:val="26"/>
        </w:rPr>
        <w:t>CONSIDERANDOS</w:t>
      </w:r>
    </w:p>
    <w:p>
      <w:pPr>
        <w:jc w:val="both"/>
      </w:pPr>
      <w:r>
        <w:rPr>
          <w:rFonts w:ascii="Calibri" w:hAnsi="Calibri"/>
          <w:b w:val="0"/>
          <w:i w:val="0"/>
          <w:sz w:val="22"/>
        </w:rPr>
        <w:t>I. Incentivo económico al propietario o poseedor por servicios ambientales (protección, manejo o reforestación).</w:t>
      </w:r>
    </w:p>
    <w:p/>
    <w:p>
      <w:pPr>
        <w:jc w:val="left"/>
      </w:pPr>
      <w:r>
        <w:rPr>
          <w:b/>
          <w:color w:val="1F3A5F"/>
          <w:sz w:val="26"/>
        </w:rPr>
        <w:t>CLÁUSULAS</w:t>
      </w:r>
    </w:p>
    <w:p>
      <w:pPr>
        <w:jc w:val="left"/>
      </w:pPr>
      <w:r>
        <w:rPr>
          <w:b/>
          <w:color w:val="2E4E7C"/>
          <w:sz w:val="22"/>
        </w:rPr>
        <w:t>PRIMERA: OBJETO</w:t>
      </w:r>
    </w:p>
    <w:p>
      <w:pPr>
        <w:jc w:val="both"/>
      </w:pPr>
      <w:r>
        <w:rPr>
          <w:rFonts w:ascii="Calibri" w:hAnsi="Calibri"/>
          <w:b w:val="0"/>
          <w:i w:val="0"/>
          <w:sz w:val="22"/>
        </w:rPr>
        <w:t>Otorgamiento de incentivo forestal al beneficiario por [protección/manejo/reforestación] de [#] hectáreas en [LOCACIÓN].</w:t>
      </w:r>
    </w:p>
    <w:p>
      <w:pPr>
        <w:jc w:val="left"/>
      </w:pPr>
      <w:r>
        <w:rPr>
          <w:b/>
          <w:color w:val="2E4E7C"/>
          <w:sz w:val="22"/>
        </w:rPr>
        <w:t>SEGUNDA: MODALIDAD</w:t>
      </w:r>
    </w:p>
    <w:p>
      <w:pPr>
        <w:jc w:val="both"/>
      </w:pPr>
      <w:r>
        <w:rPr>
          <w:rFonts w:ascii="Calibri" w:hAnsi="Calibri"/>
          <w:b w:val="0"/>
          <w:i w:val="0"/>
          <w:sz w:val="22"/>
        </w:rPr>
        <w:t>[PINPEP — pequeños poseedores / PROBOSQUE — todos]</w:t>
      </w:r>
    </w:p>
    <w:p>
      <w:pPr>
        <w:jc w:val="left"/>
      </w:pPr>
      <w:r>
        <w:rPr>
          <w:b/>
          <w:color w:val="2E4E7C"/>
          <w:sz w:val="22"/>
        </w:rPr>
        <w:t>TERCERA: PLAZO Y MONTO</w:t>
      </w:r>
    </w:p>
    <w:p>
      <w:pPr>
        <w:jc w:val="both"/>
      </w:pPr>
      <w:r>
        <w:rPr>
          <w:rFonts w:ascii="Calibri" w:hAnsi="Calibri"/>
          <w:b w:val="0"/>
          <w:i w:val="0"/>
          <w:sz w:val="22"/>
        </w:rPr>
        <w:t>[#] años; Q[#]/hectárea/año.</w:t>
      </w:r>
    </w:p>
    <w:p>
      <w:pPr>
        <w:jc w:val="left"/>
      </w:pPr>
      <w:r>
        <w:rPr>
          <w:b/>
          <w:color w:val="2E4E7C"/>
          <w:sz w:val="22"/>
        </w:rPr>
        <w:t>CUARTA: OBLIGACIONES DEL BENEFICIARIO</w:t>
      </w:r>
    </w:p>
    <w:p>
      <w:pPr>
        <w:jc w:val="both"/>
      </w:pPr>
      <w:r>
        <w:rPr>
          <w:rFonts w:ascii="Calibri" w:hAnsi="Calibri"/>
          <w:b w:val="0"/>
          <w:i w:val="0"/>
          <w:sz w:val="22"/>
        </w:rPr>
        <w:t>Mantener cobertura forestal; permitir inspecciones INAB; cumplir plan de manejo; no cambiar uso del suelo.</w:t>
      </w:r>
    </w:p>
    <w:p>
      <w:pPr>
        <w:jc w:val="left"/>
      </w:pPr>
      <w:r>
        <w:rPr>
          <w:b/>
          <w:color w:val="2E4E7C"/>
          <w:sz w:val="22"/>
        </w:rPr>
        <w:t>QUINTA: PLAN DE MANEJO</w:t>
      </w:r>
    </w:p>
    <w:p>
      <w:pPr>
        <w:jc w:val="both"/>
      </w:pPr>
      <w:r>
        <w:rPr>
          <w:rFonts w:ascii="Calibri" w:hAnsi="Calibri"/>
          <w:b w:val="0"/>
          <w:i w:val="0"/>
          <w:sz w:val="22"/>
        </w:rPr>
        <w:t>Aprobado por el INAB; ejecutar conforme cronograma.</w:t>
      </w:r>
    </w:p>
    <w:p>
      <w:pPr>
        <w:jc w:val="left"/>
      </w:pPr>
      <w:r>
        <w:rPr>
          <w:b/>
          <w:color w:val="2E4E7C"/>
          <w:sz w:val="22"/>
        </w:rPr>
        <w:t>SEXTA: INSPECCIONES</w:t>
      </w:r>
    </w:p>
    <w:p>
      <w:pPr>
        <w:jc w:val="both"/>
      </w:pPr>
      <w:r>
        <w:rPr>
          <w:rFonts w:ascii="Calibri" w:hAnsi="Calibri"/>
          <w:b w:val="0"/>
          <w:i w:val="0"/>
          <w:sz w:val="22"/>
        </w:rPr>
        <w:t>Periódicas por INAB.</w:t>
      </w:r>
    </w:p>
    <w:p>
      <w:pPr>
        <w:jc w:val="left"/>
      </w:pPr>
      <w:r>
        <w:rPr>
          <w:b/>
          <w:color w:val="2E4E7C"/>
          <w:sz w:val="22"/>
        </w:rPr>
        <w:t>SÉPTIMA: INCUMPLIMIENTO</w:t>
      </w:r>
    </w:p>
    <w:p>
      <w:pPr>
        <w:jc w:val="both"/>
      </w:pPr>
      <w:r>
        <w:rPr>
          <w:rFonts w:ascii="Calibri" w:hAnsi="Calibri"/>
          <w:b w:val="0"/>
          <w:i w:val="0"/>
          <w:sz w:val="22"/>
        </w:rPr>
        <w:t>Suspensión del incentivo y restitución de fondos.</w:t>
      </w:r>
    </w:p>
    <w:p>
      <w:pPr>
        <w:jc w:val="left"/>
      </w:pPr>
      <w:r>
        <w:rPr>
          <w:b/>
          <w:color w:val="2E4E7C"/>
          <w:sz w:val="22"/>
        </w:rPr>
        <w:t>OCTAVA: CONFIDENCIALIDAD</w:t>
      </w:r>
    </w:p>
    <w:p>
      <w:pPr>
        <w:jc w:val="both"/>
      </w:pPr>
      <w:r>
        <w:rPr>
          <w:rFonts w:ascii="Calibri" w:hAnsi="Calibri"/>
          <w:b w:val="0"/>
          <w:i w:val="0"/>
          <w:sz w:val="22"/>
        </w:rPr>
        <w:t>Las partes se obligan a mantener estricta confidencialidad sobre toda información relacionada con la otra parte, sus operaciones, clientes, precios y términos económicos del presente contrato, durante su vigencia y por [DOS / TRES / CINCO] años posteriores a su terminación. Esta obligación no aplica a información de dominio público o requerida por autoridad competente.</w:t>
      </w:r>
    </w:p>
    <w:p>
      <w:pPr>
        <w:jc w:val="left"/>
      </w:pPr>
      <w:r>
        <w:rPr>
          <w:b/>
          <w:color w:val="2E4E7C"/>
          <w:sz w:val="22"/>
        </w:rPr>
        <w:t>NOVENA: CESIÓN</w:t>
      </w:r>
    </w:p>
    <w:p>
      <w:pPr>
        <w:jc w:val="both"/>
      </w:pPr>
      <w:r>
        <w:rPr>
          <w:rFonts w:ascii="Calibri" w:hAnsi="Calibri"/>
          <w:b w:val="0"/>
          <w:i w:val="0"/>
          <w:sz w:val="22"/>
        </w:rPr>
        <w:t>Ninguna de las partes podrá ceder, transferir o de cualquier modo enajenar los derechos y obligaciones del presente contrato sin el consentimiento previo y por escrito de la otra.</w:t>
      </w:r>
    </w:p>
    <w:p>
      <w:pPr>
        <w:jc w:val="left"/>
      </w:pPr>
      <w:r>
        <w:rPr>
          <w:b/>
          <w:color w:val="2E4E7C"/>
          <w:sz w:val="22"/>
        </w:rPr>
        <w:t>DÉCIMA: MODIFICACIONES</w:t>
      </w:r>
    </w:p>
    <w:p>
      <w:pPr>
        <w:jc w:val="both"/>
      </w:pPr>
      <w:r>
        <w:rPr>
          <w:rFonts w:ascii="Calibri" w:hAnsi="Calibri"/>
          <w:b w:val="0"/>
          <w:i w:val="0"/>
          <w:sz w:val="22"/>
        </w:rPr>
        <w:t>Toda modificación al presente contrato deberá constar por escrito y ser firmada por ambas partes para su validez. Ninguna estipulación verbal vinculará a las partes.</w:t>
      </w:r>
    </w:p>
    <w:p>
      <w:pPr>
        <w:jc w:val="left"/>
      </w:pPr>
      <w:r>
        <w:rPr>
          <w:b/>
          <w:color w:val="2E4E7C"/>
          <w:sz w:val="22"/>
        </w:rPr>
        <w:t>DÉCIMA PRIMERA: NOTIFICACIONES</w:t>
      </w:r>
    </w:p>
    <w:p>
      <w:pPr>
        <w:jc w:val="both"/>
      </w:pPr>
      <w:r>
        <w:rPr>
          <w:rFonts w:ascii="Calibri" w:hAnsi="Calibri"/>
          <w:b w:val="0"/>
          <w:i w:val="0"/>
          <w:sz w:val="22"/>
        </w:rPr>
        <w:t>Las partes señalan como lugares para recibir notificaciones los consignados en el preámbulo de este contrato. Cualquier cambio deberá comunicarse por escrito con al menos diez (10) días de anticipación; en su defecto, las notificaciones se tendrán por bien hechas en el último lugar señalado.</w:t>
      </w:r>
    </w:p>
    <w:p>
      <w:pPr>
        <w:jc w:val="left"/>
      </w:pPr>
      <w:r>
        <w:rPr>
          <w:b/>
          <w:color w:val="2E4E7C"/>
          <w:sz w:val="22"/>
        </w:rPr>
        <w:t>DÉCIMA SEGUNDA: RESOLUCIÓN DE CONTROVERSIAS</w:t>
      </w:r>
    </w:p>
    <w:p>
      <w:pPr>
        <w:jc w:val="both"/>
      </w:pPr>
      <w:r>
        <w:rPr>
          <w:rFonts w:ascii="Calibri" w:hAnsi="Calibri"/>
          <w:b w:val="0"/>
          <w:i w:val="0"/>
          <w:sz w:val="22"/>
        </w:rPr>
        <w:t>Cualquier controversia, diferencia o reclamación derivada del presente contrato o relacionada con su interpretación, ejecución, terminación o cumplimiento, será resuelta definitivamente mediante arbitraje de derecho administrado por el Centro de Arbitraje y Conciliación de la Cámara de Comercio de Guatemala (CRECIG), conforme a su reglamento vigente. El tribunal arbitral estará integrado por [UNO/TRES] árbitros, la sede será [CIUDAD DE GUATEMALA] y el idioma del arbitraje será el español. El laudo será definitivo y vinculante para las partes.</w:t>
      </w:r>
    </w:p>
    <w:p>
      <w:pPr>
        <w:jc w:val="left"/>
      </w:pPr>
      <w:r>
        <w:rPr>
          <w:b/>
          <w:color w:val="2E4E7C"/>
          <w:sz w:val="22"/>
        </w:rPr>
        <w:t>DÉCIMA TERCERA: LEGISLACIÓN APLICABLE</w:t>
      </w:r>
    </w:p>
    <w:p>
      <w:pPr>
        <w:jc w:val="both"/>
      </w:pPr>
      <w:r>
        <w:rPr>
          <w:rFonts w:ascii="Calibri" w:hAnsi="Calibri"/>
          <w:b w:val="0"/>
          <w:i w:val="0"/>
          <w:sz w:val="22"/>
        </w:rPr>
        <w:t>El presente contrato se rige por las leyes de la República de Guatemala y se interpretará conforme a las mismas.</w:t>
      </w:r>
    </w:p>
    <w:p>
      <w:pPr>
        <w:jc w:val="left"/>
      </w:pPr>
      <w:r>
        <w:rPr>
          <w:b/>
          <w:color w:val="2E4E7C"/>
          <w:sz w:val="22"/>
        </w:rPr>
        <w:t>DÉCIMA CUARTA: ACEPTACIÓN</w:t>
      </w:r>
    </w:p>
    <w:p>
      <w:pPr>
        <w:jc w:val="both"/>
      </w:pPr>
      <w:r>
        <w:rPr>
          <w:rFonts w:ascii="Calibri" w:hAnsi="Calibri"/>
          <w:b w:val="0"/>
          <w:i w:val="0"/>
          <w:sz w:val="22"/>
        </w:rPr>
        <w:t>Las partes manifiestan que han leído íntegramente el presente contrato, comprenden su contenido, alcances y efectos legales, y lo aceptan en todas sus partes obligándose a su fiel y oportuno cumplimiento.</w:t>
      </w:r>
    </w:p>
    <w:p/>
    <w:p>
      <w:pPr>
        <w:jc w:val="left"/>
      </w:pPr>
      <w:r>
        <w:rPr>
          <w:b/>
          <w:color w:val="1F3A5F"/>
          <w:sz w:val="26"/>
        </w:rPr>
        <w:t>CLÁUSULAS OPCIONALES (incluir según el caso)</w:t>
      </w:r>
    </w:p>
    <w:p>
      <w:pPr>
        <w:jc w:val="left"/>
      </w:pPr>
      <w:r>
        <w:rPr>
          <w:b/>
          <w:color w:val="2E4E7C"/>
          <w:sz w:val="22"/>
        </w:rPr>
        <w:t>[OPCIONAL] AGRUPACIÓN DE BENEFICIARIOS</w:t>
      </w:r>
    </w:p>
    <w:p>
      <w:pPr>
        <w:jc w:val="both"/>
      </w:pPr>
      <w:r>
        <w:rPr>
          <w:rFonts w:ascii="Calibri" w:hAnsi="Calibri"/>
          <w:b w:val="0"/>
          <w:i w:val="0"/>
          <w:sz w:val="22"/>
        </w:rPr>
        <w:t>Múltiples pequeños propietarios en un solo expediente.</w:t>
      </w:r>
    </w:p>
    <w:p/>
    <w:p>
      <w:pPr>
        <w:jc w:val="both"/>
      </w:pPr>
      <w:r>
        <w:rPr>
          <w:rFonts w:ascii="Calibri" w:hAnsi="Calibri"/>
          <w:b w:val="0"/>
          <w:i w:val="0"/>
          <w:sz w:val="22"/>
        </w:rPr>
        <w:t>En fe de lo anterior, las partes leen el presente contrato, lo encuentran conforme y lo aceptan, ratifican y firman en [LUGAR], el [DÍA EN LETRAS] de [MES] del año [AÑO EN LETRAS].</w:t>
      </w:r>
    </w:p>
    <w:p/>
    <w:p>
      <w:pPr>
        <w:jc w:val="left"/>
      </w:pPr>
      <w:r>
        <w:rPr>
          <w:b/>
          <w:color w:val="1F3A5F"/>
          <w:sz w:val="26"/>
        </w:rPr>
        <w:t>FIRMAS</w:t>
      </w:r>
    </w:p>
    <w:p>
      <w:r>
        <w:rPr>
          <w:rFonts w:ascii="Calibri" w:hAnsi="Calibri"/>
          <w:b w:val="0"/>
          <w:i w:val="0"/>
          <w:sz w:val="22"/>
        </w:rPr>
        <w:t>_________________________________</w:t>
        <w:br/>
        <w:t>[REPRESENTANTE LEGAL]</w:t>
        <w:br/>
        <w:t>EL INAB</w:t>
        <w:br/>
        <w:t>[RAZÓN SOCIAL]</w:t>
      </w:r>
    </w:p>
    <w:p>
      <w:r>
        <w:rPr>
          <w:rFonts w:ascii="Calibri" w:hAnsi="Calibri"/>
          <w:b w:val="0"/>
          <w:i w:val="0"/>
          <w:sz w:val="22"/>
        </w:rPr>
        <w:t>_________________________________</w:t>
        <w:br/>
        <w:t>[REPRESENTANTE LEGAL]</w:t>
        <w:br/>
        <w:t>EL BENEFICIARIO PROPIETARIO/POSEEDOR</w:t>
        <w:br/>
        <w:t>[RAZÓN SOCIAL]</w:t>
      </w:r>
    </w:p>
    <w:p>
      <w:r>
        <w:br w:type="page"/>
      </w:r>
    </w:p>
    <w:p>
      <w:pPr>
        <w:jc w:val="left"/>
      </w:pPr>
      <w:r>
        <w:rPr>
          <w:b/>
          <w:color w:val="1F3A5F"/>
          <w:sz w:val="26"/>
        </w:rPr>
        <w:t>NOTAS LEGALES (Guatemala)</w:t>
      </w:r>
    </w:p>
    <w:p>
      <w:pPr>
        <w:jc w:val="both"/>
      </w:pPr>
      <w:r>
        <w:rPr>
          <w:rFonts w:ascii="Calibri" w:hAnsi="Calibri"/>
          <w:b w:val="0"/>
          <w:i w:val="0"/>
          <w:sz w:val="21"/>
        </w:rPr>
        <w:t>• Bases: Decreto 51-2010 (PINPEP) y Decreto 2-2015 (PROBOSQUE).</w:t>
      </w:r>
    </w:p>
    <w:p>
      <w:pPr>
        <w:jc w:val="both"/>
      </w:pPr>
      <w:r>
        <w:rPr>
          <w:rFonts w:ascii="Calibri" w:hAnsi="Calibri"/>
          <w:b w:val="0"/>
          <w:i w:val="0"/>
          <w:sz w:val="21"/>
        </w:rPr>
        <w:t>• Coordinado por INAB (Instituto Nacional de Bosques).</w:t>
      </w:r>
    </w:p>
    <w:p>
      <w:pPr>
        <w:jc w:val="both"/>
      </w:pPr>
      <w:r>
        <w:rPr>
          <w:rFonts w:ascii="Calibri" w:hAnsi="Calibri"/>
          <w:b w:val="0"/>
          <w:i w:val="0"/>
          <w:sz w:val="21"/>
        </w:rPr>
        <w:t>• Importante mecanismo de conservación forestal.</w:t>
      </w:r>
    </w:p>
    <w:p>
      <w:pPr>
        <w:jc w:val="both"/>
      </w:pPr>
      <w:r>
        <w:rPr>
          <w:rFonts w:ascii="Calibri" w:hAnsi="Calibri"/>
          <w:b w:val="0"/>
          <w:i w:val="0"/>
          <w:sz w:val="21"/>
        </w:rPr>
        <w:t>• Beneficiarios principales: pequeños poseedores y propietarios.</w:t>
      </w:r>
    </w:p>
    <w:p/>
    <w:p>
      <w:pPr>
        <w:jc w:val="left"/>
      </w:pPr>
      <w:r>
        <w:rPr>
          <w:b/>
          <w:color w:val="1F3A5F"/>
          <w:sz w:val="26"/>
        </w:rPr>
        <w:t>GLOSARIO DE CAMPOS A RELLENAR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  <w:shd w:val="clear" w:color="auto" w:fill="D5E8F0"/>
          </w:tcPr>
          <w:p>
            <w:r>
              <w:rPr>
                <w:b/>
              </w:rPr>
              <w:t>CAMPO</w:t>
            </w:r>
          </w:p>
        </w:tc>
        <w:tc>
          <w:tcPr>
            <w:tcW w:type="dxa" w:w="4703"/>
            <w:shd w:val="clear" w:color="auto" w:fill="D5E8F0"/>
          </w:tcPr>
          <w:p>
            <w:r>
              <w:rPr>
                <w:b/>
              </w:rPr>
              <w:t>DESCRIPCIÓN</w:t>
            </w:r>
          </w:p>
        </w:tc>
      </w:tr>
      <w:tr>
        <w:tc>
          <w:tcPr>
            <w:tcW w:type="dxa" w:w="4703"/>
          </w:tcPr>
          <w:p>
            <w:r>
              <w:t>[PINPEP]</w:t>
            </w:r>
          </w:p>
        </w:tc>
        <w:tc>
          <w:tcPr>
            <w:tcW w:type="dxa" w:w="4703"/>
          </w:tcPr>
          <w:p>
            <w:r>
              <w:t>Programa de Incentivos para Pequeños Poseedores.</w:t>
            </w:r>
          </w:p>
        </w:tc>
      </w:tr>
      <w:tr>
        <w:tc>
          <w:tcPr>
            <w:tcW w:type="dxa" w:w="4703"/>
          </w:tcPr>
          <w:p>
            <w:r>
              <w:t>[PROBOSQUE]</w:t>
            </w:r>
          </w:p>
        </w:tc>
        <w:tc>
          <w:tcPr>
            <w:tcW w:type="dxa" w:w="4703"/>
          </w:tcPr>
          <w:p>
            <w:r>
              <w:t>Programa de Bosques.</w:t>
            </w:r>
          </w:p>
        </w:tc>
      </w:tr>
    </w:tbl>
    <w:p/>
    <w:p>
      <w:pPr>
        <w:jc w:val="left"/>
      </w:pPr>
      <w:r>
        <w:rPr>
          <w:b/>
          <w:color w:val="1F3A5F"/>
          <w:sz w:val="26"/>
        </w:rPr>
        <w:t>CHECKLIST DE REQUISITOS Y DOCUMENTOS</w:t>
      </w:r>
    </w:p>
    <w:p>
      <w:r>
        <w:rPr>
          <w:rFonts w:ascii="Calibri" w:hAnsi="Calibri"/>
          <w:b w:val="0"/>
          <w:i w:val="0"/>
          <w:sz w:val="21"/>
        </w:rPr>
        <w:t>☐  Acreditación de propiedad/posesión</w:t>
      </w:r>
    </w:p>
    <w:p>
      <w:r>
        <w:rPr>
          <w:rFonts w:ascii="Calibri" w:hAnsi="Calibri"/>
          <w:b w:val="0"/>
          <w:i w:val="0"/>
          <w:sz w:val="21"/>
        </w:rPr>
        <w:t>☐  Plan de manejo forestal</w:t>
      </w:r>
    </w:p>
    <w:p>
      <w:r>
        <w:rPr>
          <w:rFonts w:ascii="Calibri" w:hAnsi="Calibri"/>
          <w:b w:val="0"/>
          <w:i w:val="0"/>
          <w:sz w:val="21"/>
        </w:rPr>
        <w:t>☐  Cédula vecinal/DPI</w:t>
      </w:r>
    </w:p>
    <w:p>
      <w:r>
        <w:rPr>
          <w:rFonts w:ascii="Calibri" w:hAnsi="Calibri"/>
          <w:b w:val="0"/>
          <w:i w:val="0"/>
          <w:sz w:val="21"/>
        </w:rPr>
        <w:t>☐  NIT</w:t>
      </w:r>
    </w:p>
    <w:p>
      <w:r>
        <w:rPr>
          <w:rFonts w:ascii="Calibri" w:hAnsi="Calibri"/>
          <w:b w:val="0"/>
          <w:i w:val="0"/>
          <w:sz w:val="21"/>
        </w:rPr>
        <w:t>☐  Análisis técnico INAB</w:t>
      </w:r>
    </w:p>
    <w:p/>
    <w:p>
      <w:pPr>
        <w:jc w:val="center"/>
      </w:pPr>
      <w:r>
        <w:rPr>
          <w:i/>
          <w:color w:val="808080"/>
          <w:sz w:val="18"/>
        </w:rPr>
        <w:t>— Plantilla generada para uso profesional. Adaptar a cada caso específico y validar con asesor legal. —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