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CONSTITUCIÓN DE SERVIDUMBRE ECOLÓGICA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Civil (servidumbres voluntarias) + Ley Forestal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PROPIETARIO DEL PREDIO'.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ORGANIZACIÓN CONSERVACIONISTA'.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Limitación voluntaria del dominio para fines de conservación.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PREDIO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[Finca, ubicación, área]</w:t>
      </w:r>
    </w:p>
    <w:p>
      <w:pPr>
        <w:jc w:val="left"/>
      </w:pPr>
      <w:r>
        <w:rPr>
          <w:b/>
          <w:color w:val="2E4E7C"/>
          <w:sz w:val="22"/>
        </w:rPr>
        <w:t>SEGUNDA: OBJETO DE CONSERVACIÓN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Conservación de [ecosistema / especies / cuerpo de agua / belleza escénica].</w:t>
      </w:r>
    </w:p>
    <w:p>
      <w:pPr>
        <w:jc w:val="left"/>
      </w:pPr>
      <w:r>
        <w:rPr>
          <w:b/>
          <w:color w:val="2E4E7C"/>
          <w:sz w:val="22"/>
        </w:rPr>
        <w:t>TERCERA: RESTRICCIONES AL USO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Prohibido: tala, cambio de uso del suelo, construcciones, caza, contaminación.</w:t>
      </w:r>
    </w:p>
    <w:p>
      <w:pPr>
        <w:jc w:val="left"/>
      </w:pPr>
      <w:r>
        <w:rPr>
          <w:b/>
          <w:color w:val="2E4E7C"/>
          <w:sz w:val="22"/>
        </w:rPr>
        <w:t>CUARTA: USOS PERMITIDOS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Ecoturismo controlado; investigación; agricultura tradicional sostenible.</w:t>
      </w:r>
    </w:p>
    <w:p>
      <w:pPr>
        <w:jc w:val="left"/>
      </w:pPr>
      <w:r>
        <w:rPr>
          <w:b/>
          <w:color w:val="2E4E7C"/>
          <w:sz w:val="22"/>
        </w:rPr>
        <w:t>QUINTA: PERPETUIDAD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Servidumbre PERPETUA, transmisible con el predio.</w:t>
      </w:r>
    </w:p>
    <w:p>
      <w:pPr>
        <w:jc w:val="left"/>
      </w:pPr>
      <w:r>
        <w:rPr>
          <w:b/>
          <w:color w:val="2E4E7C"/>
          <w:sz w:val="22"/>
        </w:rPr>
        <w:t>SEXTA: COMPENSACIÓN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[Único pago / pagos periódicos / incentivo PINPEP]</w:t>
      </w:r>
    </w:p>
    <w:p>
      <w:pPr>
        <w:jc w:val="left"/>
      </w:pPr>
      <w:r>
        <w:rPr>
          <w:b/>
          <w:color w:val="2E4E7C"/>
          <w:sz w:val="22"/>
        </w:rPr>
        <w:t>SÉPTIMA: MONITOREO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organización ejerce monitoreo de cumplimiento.</w:t>
      </w:r>
    </w:p>
    <w:p>
      <w:pPr>
        <w:jc w:val="left"/>
      </w:pPr>
      <w:r>
        <w:rPr>
          <w:b/>
          <w:color w:val="2E4E7C"/>
          <w:sz w:val="22"/>
        </w:rPr>
        <w:t>OCTAVA: DERECHOS RESERVADOS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Acceso para monitoreo y verificación.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SERVIDUMBRE TEMPORAL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período definido.</w:t>
      </w:r>
    </w:p>
    <w:p>
      <w:pPr>
        <w:jc w:val="left"/>
      </w:pPr>
      <w:r>
        <w:rPr>
          <w:b/>
          <w:color w:val="2E4E7C"/>
          <w:sz w:val="22"/>
        </w:rPr>
        <w:t>[OPCIONAL] CONSERVATION EASEMENT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Modelo USA — buena práctica.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PROPIETARIO DEL PREDIO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ORGANIZACIÓN CONSERVACIONISTA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Figura del Código Civil adaptada para conservación.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 — vincula a propietarios futuros.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Organizaciones beneficiarias: FUNDAECO, Defensores de la Naturaleza, etc.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Compatible con PINPEP y otros incentivos.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[SERVIDUMBRE ECOLÓGICA]</w:t>
            </w:r>
          </w:p>
        </w:tc>
        <w:tc>
          <w:tcPr>
            <w:tcW w:type="dxa" w:w="4703"/>
          </w:tcPr>
          <w:p>
            <w:r>
              <w:t>Restricción al dominio con fines de conservación.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Inscripción RGP</w:t>
      </w:r>
    </w:p>
    <w:p>
      <w:r>
        <w:rPr>
          <w:rFonts w:ascii="Calibri" w:hAnsi="Calibri"/>
          <w:b w:val="0"/>
          <w:i w:val="0"/>
          <w:sz w:val="21"/>
        </w:rPr>
        <w:t>☐  Plan de manejo del predio</w:t>
      </w:r>
    </w:p>
    <w:p>
      <w:r>
        <w:rPr>
          <w:rFonts w:ascii="Calibri" w:hAnsi="Calibri"/>
          <w:b w:val="0"/>
          <w:i w:val="0"/>
          <w:sz w:val="21"/>
        </w:rPr>
        <w:t>☐  Monitoreo periódico</w:t>
      </w:r>
    </w:p>
    <w:p>
      <w:r>
        <w:rPr>
          <w:rFonts w:ascii="Calibri" w:hAnsi="Calibri"/>
          <w:b w:val="0"/>
          <w:i w:val="0"/>
          <w:sz w:val="21"/>
        </w:rPr>
        <w:t>☐  Capacidad de la organización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