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APERTURA DE CUENTA DE DEPÓSITOS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Bancos (Decreto 19-2002) y Reglamentos SIB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Apertura de cuenta de depósitos (monetarios, ahorro o plazo) por solicitud del cliente.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TIPO DE CUENTA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Cuenta [monetaria / ahorro / plazo fijo] número [#]. Moneda: [GTQ / USD]. Plazo: [n/a / # días].</w:t>
      </w:r>
    </w:p>
    <w:p>
      <w:pPr>
        <w:jc w:val="left"/>
      </w:pPr>
      <w:r>
        <w:rPr>
          <w:b/>
          <w:color w:val="2E4E7C"/>
          <w:sz w:val="22"/>
        </w:rPr>
        <w:t>SEGUNDA: DEPÓSITO INICIAL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 / US$[MONTO].</w:t>
      </w:r>
    </w:p>
    <w:p>
      <w:pPr>
        <w:jc w:val="left"/>
      </w:pPr>
      <w:r>
        <w:rPr>
          <w:b/>
          <w:color w:val="2E4E7C"/>
          <w:sz w:val="22"/>
        </w:rPr>
        <w:t>TERCERA: INTERESES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Tasa [#]% anual conforme tarifa vigente. Capitalización [diaria/mensual].</w:t>
      </w:r>
    </w:p>
    <w:p>
      <w:pPr>
        <w:jc w:val="left"/>
      </w:pPr>
      <w:r>
        <w:rPr>
          <w:b/>
          <w:color w:val="2E4E7C"/>
          <w:sz w:val="22"/>
        </w:rPr>
        <w:t>CUARTA: OPERACIONES PERMITIDAS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Depósitos, retiros, transferencias, pagos. Para cuenta monetaria: chequera.</w:t>
      </w:r>
    </w:p>
    <w:p>
      <w:pPr>
        <w:jc w:val="left"/>
      </w:pPr>
      <w:r>
        <w:rPr>
          <w:b/>
          <w:color w:val="2E4E7C"/>
          <w:sz w:val="22"/>
        </w:rPr>
        <w:t>QUINTA: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manejo, transferencias, cheque devuelto, etc., según tarifa publicada.</w:t>
      </w:r>
    </w:p>
    <w:p>
      <w:pPr>
        <w:jc w:val="left"/>
      </w:pPr>
      <w:r>
        <w:rPr>
          <w:b/>
          <w:color w:val="2E4E7C"/>
          <w:sz w:val="22"/>
        </w:rPr>
        <w:t>SEXTA: ESTADO DE CUENTA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 por medios electrónicos o impresos.</w:t>
      </w:r>
    </w:p>
    <w:p>
      <w:pPr>
        <w:jc w:val="left"/>
      </w:pPr>
      <w:r>
        <w:rPr>
          <w:b/>
          <w:color w:val="2E4E7C"/>
          <w:sz w:val="22"/>
        </w:rPr>
        <w:t>SÉPTIMA: KYC Y 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entrega documentación KYC; declara origen lícito de fondos; autoriza reportes UAF según ley.</w:t>
      </w:r>
    </w:p>
    <w:p>
      <w:pPr>
        <w:jc w:val="left"/>
      </w:pPr>
      <w:r>
        <w:rPr>
          <w:b/>
          <w:color w:val="2E4E7C"/>
          <w:sz w:val="22"/>
        </w:rPr>
        <w:t>OCTAVA: RESPONSABILIDAD POR FRAUDE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Notificar movimientos sospechosos dentro de [30] días.</w:t>
      </w:r>
    </w:p>
    <w:p>
      <w:pPr>
        <w:jc w:val="left"/>
      </w:pPr>
      <w:r>
        <w:rPr>
          <w:b/>
          <w:color w:val="2E4E7C"/>
          <w:sz w:val="22"/>
        </w:rPr>
        <w:t>NOVENA: EMBARGOS Y BLOQUEOS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bloqueará la cuenta por orden judicial competente.</w:t>
      </w:r>
    </w:p>
    <w:p>
      <w:pPr>
        <w:jc w:val="left"/>
      </w:pPr>
      <w:r>
        <w:rPr>
          <w:b/>
          <w:color w:val="2E4E7C"/>
          <w:sz w:val="22"/>
        </w:rPr>
        <w:t>DÉCIMA: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solicitud del cliente; por incumplimiento; por orden judicial.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CUENTA MANCOMUNADA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titulares con firma [Y / O].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CLIENTE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Ley de Bancos y Grupos Financieros (Dto. 19-2002).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Supervisión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anti-lavado: Decreto 67-2001 y Reglamento de la UAF.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Reporte de operaciones inusuales y de operaciones en efectivo &gt; umbral.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Depósitos asegurados hasta Q20,000 por el FOPA (Fondo para la Protección del Ahorro).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Garantía constitucional del depósito (Art. 119 inc. p Constitución).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Intereses devengados generan ISR (retención 10% sobre rentas de capital).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[KYC]</w:t>
            </w:r>
          </w:p>
        </w:tc>
        <w:tc>
          <w:tcPr>
            <w:tcW w:type="dxa" w:w="4703"/>
          </w:tcPr>
          <w:p>
            <w:r>
              <w:t>Know Your Customer — debida diligencia.</w:t>
            </w:r>
          </w:p>
        </w:tc>
      </w:tr>
      <w:tr>
        <w:tc>
          <w:tcPr>
            <w:tcW w:type="dxa" w:w="4703"/>
          </w:tcPr>
          <w:p>
            <w:r>
              <w:t>[UAF]</w:t>
            </w:r>
          </w:p>
        </w:tc>
        <w:tc>
          <w:tcPr>
            <w:tcW w:type="dxa" w:w="4703"/>
          </w:tcPr>
          <w:p>
            <w:r>
              <w:t>Unidad de Análisis Financiero.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KYC completa</w:t>
      </w:r>
    </w:p>
    <w:p>
      <w:r>
        <w:rPr>
          <w:rFonts w:ascii="Calibri" w:hAnsi="Calibri"/>
          <w:b w:val="0"/>
          <w:i w:val="0"/>
          <w:sz w:val="21"/>
        </w:rPr>
        <w:t>☐  DPI/Pasaporte</w:t>
      </w:r>
    </w:p>
    <w:p>
      <w:r>
        <w:rPr>
          <w:rFonts w:ascii="Calibri" w:hAnsi="Calibri"/>
          <w:b w:val="0"/>
          <w:i w:val="0"/>
          <w:sz w:val="21"/>
        </w:rPr>
        <w:t>☐  Constancia de ingresos</w:t>
      </w:r>
    </w:p>
    <w:p>
      <w:r>
        <w:rPr>
          <w:rFonts w:ascii="Calibri" w:hAnsi="Calibri"/>
          <w:b w:val="0"/>
          <w:i w:val="0"/>
          <w:sz w:val="21"/>
        </w:rPr>
        <w:t>☐  Origen de fondos</w:t>
      </w:r>
    </w:p>
    <w:p>
      <w:r>
        <w:rPr>
          <w:rFonts w:ascii="Calibri" w:hAnsi="Calibri"/>
          <w:b w:val="0"/>
          <w:i w:val="0"/>
          <w:sz w:val="21"/>
        </w:rPr>
        <w:t>☐  Firma autógrafa registrada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