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SERVICIO DE CAJA DE SEGURIDAD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Código de Comercio (custodia y depósito) y Ley de Bancos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BANCO'.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USUARIO'.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Arrendamiento de caja de seguridad para custodia de bienes del usuario.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CAJA ASIGNADA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Caja número [#], dimensiones [#], ubicación [SUCURSAL].</w:t>
      </w:r>
    </w:p>
    <w:p>
      <w:pPr>
        <w:jc w:val="left"/>
      </w:pPr>
      <w:r>
        <w:rPr>
          <w:b/>
          <w:color w:val="2E4E7C"/>
          <w:sz w:val="22"/>
        </w:rPr>
        <w:t>SEGUNDA: DURACIÓN Y RENTA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Anual de Q[#], pagadero por adelantado.</w:t>
      </w:r>
    </w:p>
    <w:p>
      <w:pPr>
        <w:jc w:val="left"/>
      </w:pPr>
      <w:r>
        <w:rPr>
          <w:b/>
          <w:color w:val="2E4E7C"/>
          <w:sz w:val="22"/>
        </w:rPr>
        <w:t>TERCERA: ACCESO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titular(es) con llave + clave + identificación biométrica.</w:t>
      </w:r>
    </w:p>
    <w:p>
      <w:pPr>
        <w:jc w:val="left"/>
      </w:pPr>
      <w:r>
        <w:rPr>
          <w:b/>
          <w:color w:val="2E4E7C"/>
          <w:sz w:val="22"/>
        </w:rPr>
        <w:t>CUARTA: CONTENIDO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BANCO desconoce el contenido. NO recibe en depósito, solo arrienda el espacio.</w:t>
      </w:r>
    </w:p>
    <w:p>
      <w:pPr>
        <w:jc w:val="left"/>
      </w:pPr>
      <w:r>
        <w:rPr>
          <w:b/>
          <w:color w:val="2E4E7C"/>
          <w:sz w:val="22"/>
        </w:rPr>
        <w:t>QUINTA: PROHIBICIONES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Sustancias peligrosas, ilícitas, perecederas.</w:t>
      </w:r>
    </w:p>
    <w:p>
      <w:pPr>
        <w:jc w:val="left"/>
      </w:pPr>
      <w:r>
        <w:rPr>
          <w:b/>
          <w:color w:val="2E4E7C"/>
          <w:sz w:val="22"/>
        </w:rPr>
        <w:t>SEXTA: ABANDONO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no se paga renta por &gt; [#] meses, banco procede a apertura forzada con notario y custodia el contenido.</w:t>
      </w:r>
    </w:p>
    <w:p>
      <w:pPr>
        <w:jc w:val="left"/>
      </w:pPr>
      <w:r>
        <w:rPr>
          <w:b/>
          <w:color w:val="2E4E7C"/>
          <w:sz w:val="22"/>
        </w:rPr>
        <w:t>SÉPTIMA: PÉRDIDA DE LLAVE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USUARIO paga apertura forzada y cambio de cerradura.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AUTORIZADO ADICIONAL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Otra persona con DPI puede acceder.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BANCO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USUARIO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Naturaleza: arrendamiento de espacio + servicio de seguridad.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BANCO NO responde por contenido si la caja se viola por causa externa (caso fortuito).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Responde por daños imputables a su negligencia.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Acceso solo a titulares; herederos requieren proceso sucesorio.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inventario notariado del contenido por el usuario.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[CAJA DE SEGURIDAD]</w:t>
            </w:r>
          </w:p>
        </w:tc>
        <w:tc>
          <w:tcPr>
            <w:tcW w:type="dxa" w:w="4703"/>
          </w:tcPr>
          <w:p>
            <w:r>
              <w:t>Servicio bancario de custodia de espacio.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biométrica</w:t>
      </w:r>
    </w:p>
    <w:p>
      <w:r>
        <w:rPr>
          <w:rFonts w:ascii="Calibri" w:hAnsi="Calibri"/>
          <w:b w:val="0"/>
          <w:i w:val="0"/>
          <w:sz w:val="21"/>
        </w:rPr>
        <w:t>☐  Llaves duplicadas en custodia</w:t>
      </w:r>
    </w:p>
    <w:p>
      <w:r>
        <w:rPr>
          <w:rFonts w:ascii="Calibri" w:hAnsi="Calibri"/>
          <w:b w:val="0"/>
          <w:i w:val="0"/>
          <w:sz w:val="21"/>
        </w:rPr>
        <w:t>☐  Registro de accesos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