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COBRANZA INTERNACIONAL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 URC 522 (ICC)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'EL BANCO COBRADOR'.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CEDENTE-EXPORTADOR'.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Gestión de cobranza de documentos a importador extranjero.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Gestionar el cobro de US$[MONTO] presentado por el exportador a cargo de [IMPORTADOR EXTRANJERO].</w:t>
      </w:r>
    </w:p>
    <w:p>
      <w:pPr>
        <w:jc w:val="left"/>
      </w:pPr>
      <w:r>
        <w:rPr>
          <w:b/>
          <w:color w:val="2E4E7C"/>
          <w:sz w:val="22"/>
        </w:rPr>
        <w:t>SEGUNDA: MODALIDAD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[Documentaria / simple]. [Contra pago / contra aceptación].</w:t>
      </w:r>
    </w:p>
    <w:p>
      <w:pPr>
        <w:jc w:val="left"/>
      </w:pPr>
      <w:r>
        <w:rPr>
          <w:b/>
          <w:color w:val="2E4E7C"/>
          <w:sz w:val="22"/>
        </w:rPr>
        <w:t>TERCERA: DOCUMENTOS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Letra de cambio, factura, BL, etc.</w:t>
      </w:r>
    </w:p>
    <w:p>
      <w:pPr>
        <w:jc w:val="left"/>
      </w:pPr>
      <w:r>
        <w:rPr>
          <w:b/>
          <w:color w:val="2E4E7C"/>
          <w:sz w:val="22"/>
        </w:rPr>
        <w:t>CUARTA: INSTRUCCIONES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Bancos solo siguen instrucciones del exportador. No verifican mercancía.</w:t>
      </w:r>
    </w:p>
    <w:p>
      <w:pPr>
        <w:jc w:val="left"/>
      </w:pPr>
      <w:r>
        <w:rPr>
          <w:b/>
          <w:color w:val="2E4E7C"/>
          <w:sz w:val="22"/>
        </w:rPr>
        <w:t>QUINTA: COMISIONES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Cobranza [#]%; intereses por demora.</w:t>
      </w:r>
    </w:p>
    <w:p>
      <w:pPr>
        <w:jc w:val="left"/>
      </w:pPr>
      <w:r>
        <w:rPr>
          <w:b/>
          <w:color w:val="2E4E7C"/>
          <w:sz w:val="22"/>
        </w:rPr>
        <w:t>SEXTA: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SÉPTIMA: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OCTAVA: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NOVENA: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PRIMERA: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SEGUNDA: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AGAINST ACCEPTANCE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Documentos se entregan contra aceptación de letra a plazo.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BANCO COBRADOR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CEDENTE-EXPORTADOR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URC 522 (Uniform Rules for Collections — ICC).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Diferencia con carta de crédito: el banco NO se compromete al pago si importador no paga.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Es modalidad más barata pero más riesgosa.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Bancos actúan solo como agentes cobradores.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[URC 522]</w:t>
            </w:r>
          </w:p>
        </w:tc>
        <w:tc>
          <w:tcPr>
            <w:tcW w:type="dxa" w:w="4703"/>
          </w:tcPr>
          <w:p>
            <w:r>
              <w:t>Reglas ICC para cobranzas.</w:t>
            </w:r>
          </w:p>
        </w:tc>
      </w:tr>
      <w:tr>
        <w:tc>
          <w:tcPr>
            <w:tcW w:type="dxa" w:w="4703"/>
          </w:tcPr>
          <w:p>
            <w:r>
              <w:t>[D/P]</w:t>
            </w:r>
          </w:p>
        </w:tc>
        <w:tc>
          <w:tcPr>
            <w:tcW w:type="dxa" w:w="4703"/>
          </w:tcPr>
          <w:p>
            <w:r>
              <w:t>Documents against Payment.</w:t>
            </w:r>
          </w:p>
        </w:tc>
      </w:tr>
      <w:tr>
        <w:tc>
          <w:tcPr>
            <w:tcW w:type="dxa" w:w="4703"/>
          </w:tcPr>
          <w:p>
            <w:r>
              <w:t>[D/A]</w:t>
            </w:r>
          </w:p>
        </w:tc>
        <w:tc>
          <w:tcPr>
            <w:tcW w:type="dxa" w:w="4703"/>
          </w:tcPr>
          <w:p>
            <w:r>
              <w:t>Documents against Acceptance.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Documentos completos</w:t>
      </w:r>
    </w:p>
    <w:p>
      <w:r>
        <w:rPr>
          <w:rFonts w:ascii="Calibri" w:hAnsi="Calibri"/>
          <w:b w:val="0"/>
          <w:i w:val="0"/>
          <w:sz w:val="21"/>
        </w:rPr>
        <w:t>☐  Instrucciones claras</w:t>
      </w:r>
    </w:p>
    <w:p>
      <w:r>
        <w:rPr>
          <w:rFonts w:ascii="Calibri" w:hAnsi="Calibri"/>
          <w:b w:val="0"/>
          <w:i w:val="0"/>
          <w:sz w:val="21"/>
        </w:rPr>
        <w:t>☐  Identificación del banco corresponsal</w:t>
      </w:r>
    </w:p>
    <w:p>
      <w:r>
        <w:rPr>
          <w:rFonts w:ascii="Calibri" w:hAnsi="Calibri"/>
          <w:b w:val="0"/>
          <w:i w:val="0"/>
          <w:sz w:val="21"/>
        </w:rPr>
        <w:t>☐  Plazos definidos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