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FACTORAJE BANCARIO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Código de Comercio + Ley de Bancos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FACTOR (BANCO)'.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Adquisición habitual y profesional de cuentas por cobrar.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Cesión de facturas conforme a contrato marco; análisis y aprobación por banco.</w:t>
      </w:r>
    </w:p>
    <w:p>
      <w:pPr>
        <w:jc w:val="left"/>
      </w:pPr>
      <w:r>
        <w:rPr>
          <w:b/>
          <w:color w:val="2E4E7C"/>
          <w:sz w:val="22"/>
        </w:rPr>
        <w:t>SEGUNDA: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[Con / sin recurso].</w:t>
      </w:r>
    </w:p>
    <w:p>
      <w:pPr>
        <w:jc w:val="left"/>
      </w:pPr>
      <w:r>
        <w:rPr>
          <w:b/>
          <w:color w:val="2E4E7C"/>
          <w:sz w:val="22"/>
        </w:rPr>
        <w:t>TERCERA: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Anticipo [#]% del valor nominal; reserva [#]%; comisión [#]%.</w:t>
      </w:r>
    </w:p>
    <w:p>
      <w:pPr>
        <w:jc w:val="left"/>
      </w:pPr>
      <w:r>
        <w:rPr>
          <w:b/>
          <w:color w:val="2E4E7C"/>
          <w:sz w:val="22"/>
        </w:rPr>
        <w:t>CUARTA: DEUDORES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facturas a cargo de deudores aprobados previamente.</w:t>
      </w:r>
    </w:p>
    <w:p>
      <w:pPr>
        <w:jc w:val="left"/>
      </w:pPr>
      <w:r>
        <w:rPr>
          <w:b/>
          <w:color w:val="2E4E7C"/>
          <w:sz w:val="22"/>
        </w:rPr>
        <w:t>QUINTA: LÍMITE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Q[TOPE] revolvente.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DESCUENTO DE PAGARÉS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Variante con títulos valor.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FACTOR (BANCO)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CLIENTE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 a entidades bancarias autorizadas.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Cesión notificada al deudor.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de cesión en RGM (opcional).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Facturas electrónicas FEL — mecanismo de cesión digital.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[FACTORAJE]</w:t>
            </w:r>
          </w:p>
        </w:tc>
        <w:tc>
          <w:tcPr>
            <w:tcW w:type="dxa" w:w="4703"/>
          </w:tcPr>
          <w:p>
            <w:r>
              <w:t>Cesión profesional de cuentas por cobrar.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crediticio del cliente y deudores</w:t>
      </w:r>
    </w:p>
    <w:p>
      <w:r>
        <w:rPr>
          <w:rFonts w:ascii="Calibri" w:hAnsi="Calibri"/>
          <w:b w:val="0"/>
          <w:i w:val="0"/>
          <w:sz w:val="21"/>
        </w:rPr>
        <w:t>☐  Documentación FEL</w:t>
      </w:r>
    </w:p>
    <w:p>
      <w:r>
        <w:rPr>
          <w:rFonts w:ascii="Calibri" w:hAnsi="Calibri"/>
          <w:b w:val="0"/>
          <w:i w:val="0"/>
          <w:sz w:val="21"/>
        </w:rPr>
        <w:t>☐  Notificaciones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