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DE INVERSIÓN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y Ley de Mercado de Valores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FIDEICOMITENTE-INVERSIONISTA'.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FIDUCIARIO'.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Vehículo de inversión profesional.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Aplicación profesional de recursos para maximizar rendimientos conforme a política de inversión.</w:t>
      </w:r>
    </w:p>
    <w:p>
      <w:pPr>
        <w:jc w:val="left"/>
      </w:pPr>
      <w:r>
        <w:rPr>
          <w:b/>
          <w:color w:val="2E4E7C"/>
          <w:sz w:val="22"/>
        </w:rPr>
        <w:t>SEGUNDA: POLÍTICA DE INVERSIÓN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Perfil [conservador / moderado / agresivo]. Composición de cartera autorizada: [DETALLE].</w:t>
      </w:r>
    </w:p>
    <w:p>
      <w:pPr>
        <w:jc w:val="left"/>
      </w:pPr>
      <w:r>
        <w:rPr>
          <w:b/>
          <w:color w:val="2E4E7C"/>
          <w:sz w:val="22"/>
        </w:rPr>
        <w:t>TERCERA: RENDIMIENTOS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Distribución [periódica / al rescate].</w:t>
      </w:r>
    </w:p>
    <w:p>
      <w:pPr>
        <w:jc w:val="left"/>
      </w:pPr>
      <w:r>
        <w:rPr>
          <w:b/>
          <w:color w:val="2E4E7C"/>
          <w:sz w:val="22"/>
        </w:rPr>
        <w:t>CUARTA: LIQUIDEZ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Rescates con preaviso de [#] días.</w:t>
      </w:r>
    </w:p>
    <w:p>
      <w:pPr>
        <w:jc w:val="left"/>
      </w:pPr>
      <w:r>
        <w:rPr>
          <w:b/>
          <w:color w:val="2E4E7C"/>
          <w:sz w:val="22"/>
        </w:rPr>
        <w:t>QUINTA: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anual sobre activos administrados + [#]% sobre rendimientos &gt; umbral.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FONDO COLECTIVO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fideicomitentes en estructura común.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FIDEICOMITENTE-INVERSIONISTA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FIDUCIARIO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oferta pública: registro en RMV y autorización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Política de inversión escrita y comunicada.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Estados periódicos al beneficiario.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Aplicabilidad de normas anti-lavado.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[POLÍTICA DE INVERSIÓN]</w:t>
            </w:r>
          </w:p>
        </w:tc>
        <w:tc>
          <w:tcPr>
            <w:tcW w:type="dxa" w:w="4703"/>
          </w:tcPr>
          <w:p>
            <w:r>
              <w:t>Reglas que rigen la administración de la cartera.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Perfil de inversionista</w:t>
      </w:r>
    </w:p>
    <w:p>
      <w:r>
        <w:rPr>
          <w:rFonts w:ascii="Calibri" w:hAnsi="Calibri"/>
          <w:b w:val="0"/>
          <w:i w:val="0"/>
          <w:sz w:val="21"/>
        </w:rPr>
        <w:t>☐  Política documentada</w:t>
      </w:r>
    </w:p>
    <w:p>
      <w:r>
        <w:rPr>
          <w:rFonts w:ascii="Calibri" w:hAnsi="Calibri"/>
          <w:b w:val="0"/>
          <w:i w:val="0"/>
          <w:sz w:val="21"/>
        </w:rPr>
        <w:t>☐  Custodia profesional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