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LÍNEA DE CRÉDITO REVOLVENTE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Bancos y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ACREDITADO'.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Apertura de línea de crédito disponible para utilizar y reutilizar hasta un tope.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MÁXIMO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Q[TOPE]. Disponibilidad revolvente.</w:t>
      </w:r>
    </w:p>
    <w:p>
      <w:pPr>
        <w:jc w:val="left"/>
      </w:pPr>
      <w:r>
        <w:rPr>
          <w:b/>
          <w:color w:val="2E4E7C"/>
          <w:sz w:val="22"/>
        </w:rPr>
        <w:t>SEGUNDA: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[#] meses, renovable.</w:t>
      </w:r>
    </w:p>
    <w:p>
      <w:pPr>
        <w:jc w:val="left"/>
      </w:pPr>
      <w:r>
        <w:rPr>
          <w:b/>
          <w:color w:val="2E4E7C"/>
          <w:sz w:val="22"/>
        </w:rPr>
        <w:t>TERCERA: CONDICIONES DE USO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Desembolsos contra solicitud, sujetos a disponibilidad y mantenimiento de condiciones financieras.</w:t>
      </w:r>
    </w:p>
    <w:p>
      <w:pPr>
        <w:jc w:val="left"/>
      </w:pPr>
      <w:r>
        <w:rPr>
          <w:b/>
          <w:color w:val="2E4E7C"/>
          <w:sz w:val="22"/>
        </w:rPr>
        <w:t>CUARTA: TASA Y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Tasa [#]% sobre saldo utilizado; comisión de disponibilidad [#]% sobre saldo no utilizado.</w:t>
      </w:r>
    </w:p>
    <w:p>
      <w:pPr>
        <w:jc w:val="left"/>
      </w:pPr>
      <w:r>
        <w:rPr>
          <w:b/>
          <w:color w:val="2E4E7C"/>
          <w:sz w:val="22"/>
        </w:rPr>
        <w:t>QUINTA: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Mínimo [#]% mensual + intereses; libre amortización adicional.</w:t>
      </w:r>
    </w:p>
    <w:p>
      <w:pPr>
        <w:jc w:val="left"/>
      </w:pPr>
      <w:r>
        <w:rPr>
          <w:b/>
          <w:color w:val="2E4E7C"/>
          <w:sz w:val="22"/>
        </w:rPr>
        <w:t>SEXTA: COVENANTS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Mantener (a) razón corriente &gt; [#]; (b) deuda/EBITDA &lt; [#]; (c) auditoría externa anual.</w:t>
      </w:r>
    </w:p>
    <w:p>
      <w:pPr>
        <w:jc w:val="left"/>
      </w:pPr>
      <w:r>
        <w:rPr>
          <w:b/>
          <w:color w:val="2E4E7C"/>
          <w:sz w:val="22"/>
        </w:rPr>
        <w:t>SÉPTIMA: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incumplimiento de covenants, deterioro material, mora.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LÍNEA COMPROMETIDA vs NO COMPROMETIDA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Define obligación del banco de desembolsar.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ACREDITADO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Producto típico de banca empresarial.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Covenants financieros: monitoreo de salud financiera del acreditado.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Mantenimiento de garantías colaterales.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Reportería financiera al banco.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[COVENANT]</w:t>
            </w:r>
          </w:p>
        </w:tc>
        <w:tc>
          <w:tcPr>
            <w:tcW w:type="dxa" w:w="4703"/>
          </w:tcPr>
          <w:p>
            <w:r>
              <w:t>Compromiso financiero u operativo del deudor.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Estados financieros auditados</w:t>
      </w:r>
    </w:p>
    <w:p>
      <w:r>
        <w:rPr>
          <w:rFonts w:ascii="Calibri" w:hAnsi="Calibri"/>
          <w:b w:val="0"/>
          <w:i w:val="0"/>
          <w:sz w:val="21"/>
        </w:rPr>
        <w:t>☐  Análisis de capacidad de pago</w:t>
      </w:r>
    </w:p>
    <w:p>
      <w:r>
        <w:rPr>
          <w:rFonts w:ascii="Calibri" w:hAnsi="Calibri"/>
          <w:b w:val="0"/>
          <w:i w:val="0"/>
          <w:sz w:val="21"/>
        </w:rPr>
        <w:t>☐  Definición de covenants</w:t>
      </w:r>
    </w:p>
    <w:p>
      <w:r>
        <w:rPr>
          <w:rFonts w:ascii="Calibri" w:hAnsi="Calibri"/>
          <w:b w:val="0"/>
          <w:i w:val="0"/>
          <w:sz w:val="21"/>
        </w:rPr>
        <w:t>☐  Garantías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