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MUTUO CON GARANTÍA PRENDARIA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Garantías Mobiliarias (Dto. 51-2007)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ACREEDOR'.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DEUDOR'.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Préstamo garantizado con bienes muebles inscribibles.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MONTO Y TASA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Q[MONTO] al [#]% anual, plazo [#] meses.</w:t>
      </w:r>
    </w:p>
    <w:p>
      <w:pPr>
        <w:jc w:val="left"/>
      </w:pPr>
      <w:r>
        <w:rPr>
          <w:b/>
          <w:color w:val="2E4E7C"/>
          <w:sz w:val="22"/>
        </w:rPr>
        <w:t>SEGUNDA: BIENES PIGNORADOS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[Vehículos / maquinaria / inventario / cuentas por cobrar / acciones]: [DESCRIPCIÓN DETALLADA Y VALUACIÓN].</w:t>
      </w:r>
    </w:p>
    <w:p>
      <w:pPr>
        <w:jc w:val="left"/>
      </w:pPr>
      <w:r>
        <w:rPr>
          <w:b/>
          <w:color w:val="2E4E7C"/>
          <w:sz w:val="22"/>
        </w:rPr>
        <w:t>TERCERA: FORMA DE PRENDA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[Con desplazamiento / sin desplazamiento]. Si sin desplazamiento: el deudor conserva la tenencia.</w:t>
      </w:r>
    </w:p>
    <w:p>
      <w:pPr>
        <w:jc w:val="left"/>
      </w:pPr>
      <w:r>
        <w:rPr>
          <w:b/>
          <w:color w:val="2E4E7C"/>
          <w:sz w:val="22"/>
        </w:rPr>
        <w:t>CUARTA: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el Registro de Garantías Mobiliarias (RGM) — constitutivo de prelación.</w:t>
      </w:r>
    </w:p>
    <w:p>
      <w:pPr>
        <w:jc w:val="left"/>
      </w:pPr>
      <w:r>
        <w:rPr>
          <w:b/>
          <w:color w:val="2E4E7C"/>
          <w:sz w:val="22"/>
        </w:rPr>
        <w:t>QUINTA: CONSERVACIÓN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deudor conserva los bienes en buen estado, no puede enajenarlos sin autorización.</w:t>
      </w:r>
    </w:p>
    <w:p>
      <w:pPr>
        <w:jc w:val="left"/>
      </w:pPr>
      <w:r>
        <w:rPr>
          <w:b/>
          <w:color w:val="2E4E7C"/>
          <w:sz w:val="22"/>
        </w:rPr>
        <w:t>SEXTA: EJECUCIÓN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Extrajudicial conforme a Ley de Garantías Mobiliarias o judicial vía ejecutiva.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PRENDA FLOTANTE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Sobre inventario rotativo; valor mínimo Q[X].</w:t>
      </w:r>
    </w:p>
    <w:p>
      <w:pPr>
        <w:jc w:val="left"/>
      </w:pPr>
      <w:r>
        <w:rPr>
          <w:b/>
          <w:color w:val="2E4E7C"/>
          <w:sz w:val="22"/>
        </w:rPr>
        <w:t>[OPCIONAL] CESIÓN EN PRENDA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Cuentas por cobrar pignoradas.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ACREEDOR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DEUDOR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Garantías Mobiliarias (Dto. 51-2007) — esquema moderno tipo UCC.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RGM (no en RGP).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Permite prenda sobre activos rotatorios (inventario, CxC).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Ejecución extrajudicial expedita.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Cuenta como garantía real con prelación.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[RGM]</w:t>
            </w:r>
          </w:p>
        </w:tc>
        <w:tc>
          <w:tcPr>
            <w:tcW w:type="dxa" w:w="4703"/>
          </w:tcPr>
          <w:p>
            <w:r>
              <w:t>Registro de Garantías Mobiliarias.</w:t>
            </w:r>
          </w:p>
        </w:tc>
      </w:tr>
      <w:tr>
        <w:tc>
          <w:tcPr>
            <w:tcW w:type="dxa" w:w="4703"/>
          </w:tcPr>
          <w:p>
            <w:r>
              <w:t>[UCC]</w:t>
            </w:r>
          </w:p>
        </w:tc>
        <w:tc>
          <w:tcPr>
            <w:tcW w:type="dxa" w:w="4703"/>
          </w:tcPr>
          <w:p>
            <w:r>
              <w:t>Modelo Uniform Commercial Code de EE.UU.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Avalúo de bienes</w:t>
      </w:r>
    </w:p>
    <w:p>
      <w:r>
        <w:rPr>
          <w:rFonts w:ascii="Calibri" w:hAnsi="Calibri"/>
          <w:b w:val="0"/>
          <w:i w:val="0"/>
          <w:sz w:val="21"/>
        </w:rPr>
        <w:t>☐  Inscripción RGM</w:t>
      </w:r>
    </w:p>
    <w:p>
      <w:r>
        <w:rPr>
          <w:rFonts w:ascii="Calibri" w:hAnsi="Calibri"/>
          <w:b w:val="0"/>
          <w:i w:val="0"/>
          <w:sz w:val="21"/>
        </w:rPr>
        <w:t>☐  Pólizas de seguro sobre bienes</w:t>
      </w:r>
    </w:p>
    <w:p>
      <w:r>
        <w:rPr>
          <w:rFonts w:ascii="Calibri" w:hAnsi="Calibri"/>
          <w:b w:val="0"/>
          <w:i w:val="0"/>
          <w:sz w:val="21"/>
        </w:rPr>
        <w:t>☐  Identificación detallada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