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PRÉSTAMO PERSONAL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de Bancos y reglamentos SIB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BANCO'.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DEUDOR'.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Préstamo de consumo a persona natural.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MONTO Y MONEDA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Q[CAPITAL] desembolsados en este acto.</w:t>
      </w:r>
    </w:p>
    <w:p>
      <w:pPr>
        <w:jc w:val="left"/>
      </w:pPr>
      <w:r>
        <w:rPr>
          <w:b/>
          <w:color w:val="2E4E7C"/>
          <w:sz w:val="22"/>
        </w:rPr>
        <w:t>SEGUNDA: PLAZO Y AMORTIZACIÓN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meses. Cuotas mensuales iguales de Q[CUOTA] los días [#].</w:t>
      </w:r>
    </w:p>
    <w:p>
      <w:pPr>
        <w:jc w:val="left"/>
      </w:pPr>
      <w:r>
        <w:rPr>
          <w:b/>
          <w:color w:val="2E4E7C"/>
          <w:sz w:val="22"/>
        </w:rPr>
        <w:t>TERCERA: TASA DE INTERÉS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Nominal [#]% anual; CAT (costo anual total) [#]%.</w:t>
      </w:r>
    </w:p>
    <w:p>
      <w:pPr>
        <w:jc w:val="left"/>
      </w:pPr>
      <w:r>
        <w:rPr>
          <w:b/>
          <w:color w:val="2E4E7C"/>
          <w:sz w:val="22"/>
        </w:rPr>
        <w:t>CUARTA: MORA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Interés moratorio del [#]% adicional sobre saldo en mora.</w:t>
      </w:r>
    </w:p>
    <w:p>
      <w:pPr>
        <w:jc w:val="left"/>
      </w:pPr>
      <w:r>
        <w:rPr>
          <w:b/>
          <w:color w:val="2E4E7C"/>
          <w:sz w:val="22"/>
        </w:rPr>
        <w:t>QUINTA: DESTINO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Libre destino. EL DEUDOR declara que no será para fines ilícitos.</w:t>
      </w:r>
    </w:p>
    <w:p>
      <w:pPr>
        <w:jc w:val="left"/>
      </w:pPr>
      <w:r>
        <w:rPr>
          <w:b/>
          <w:color w:val="2E4E7C"/>
          <w:sz w:val="22"/>
        </w:rPr>
        <w:t>SEXTA: VENCIMIENTO ANTICIPADO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impago de [#] cuotas o información falsa.</w:t>
      </w:r>
    </w:p>
    <w:p>
      <w:pPr>
        <w:jc w:val="left"/>
      </w:pPr>
      <w:r>
        <w:rPr>
          <w:b/>
          <w:color w:val="2E4E7C"/>
          <w:sz w:val="22"/>
        </w:rPr>
        <w:t>SÉPTIMA: PAGO ANTICIPADO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Permitido sin penalidad; aplicación a capital.</w:t>
      </w:r>
    </w:p>
    <w:p>
      <w:pPr>
        <w:jc w:val="left"/>
      </w:pPr>
      <w:r>
        <w:rPr>
          <w:b/>
          <w:color w:val="2E4E7C"/>
          <w:sz w:val="22"/>
        </w:rPr>
        <w:t>OCTAVA: GARANTÍAS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Patrimonio del deudor / fianza solidaria de [FIADOR] / prenda.</w:t>
      </w:r>
    </w:p>
    <w:p>
      <w:pPr>
        <w:jc w:val="left"/>
      </w:pPr>
      <w:r>
        <w:rPr>
          <w:b/>
          <w:color w:val="2E4E7C"/>
          <w:sz w:val="22"/>
        </w:rPr>
        <w:t>NOVENA: AUTORIZACIÓN BURÓ DE CRÉDITO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DEUDOR autoriza consulta y reporte a centrales de riesgo (Infornet, RIE, etc.).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PRIMERA: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TERCERA: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CUARTA: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QUINTA: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SEXTA: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FIANZA SOLIDARIA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[FIADOR] es fiador solidario.</w:t>
      </w:r>
    </w:p>
    <w:p>
      <w:pPr>
        <w:jc w:val="left"/>
      </w:pPr>
      <w:r>
        <w:rPr>
          <w:b/>
          <w:color w:val="2E4E7C"/>
          <w:sz w:val="22"/>
        </w:rPr>
        <w:t>[OPCIONAL] SEGURO DE DESGRAVAMEN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Cubre saldo en caso de muerte del deudor.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BANCO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DEUDOR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Base: Ley de Bancos. SIB supervisa.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Tasa de interés: regulación SIB, prohibición de usura (tasa máxima publicada).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CAT obligatorio (Reglamento SIB sobre transparencia).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Reporte a centrales de riesgo: con autorización del deudor.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Cuenta CET (centralización deuda) consultada antes del otorgamiento.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Cobranza extrajudicial regulada (no acoso al deudor).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[CAT]</w:t>
            </w:r>
          </w:p>
        </w:tc>
        <w:tc>
          <w:tcPr>
            <w:tcW w:type="dxa" w:w="4703"/>
          </w:tcPr>
          <w:p>
            <w:r>
              <w:t>Costo Anual Total.</w:t>
            </w:r>
          </w:p>
        </w:tc>
      </w:tr>
      <w:tr>
        <w:tc>
          <w:tcPr>
            <w:tcW w:type="dxa" w:w="4703"/>
          </w:tcPr>
          <w:p>
            <w:r>
              <w:t>[DTI]</w:t>
            </w:r>
          </w:p>
        </w:tc>
        <w:tc>
          <w:tcPr>
            <w:tcW w:type="dxa" w:w="4703"/>
          </w:tcPr>
          <w:p>
            <w:r>
              <w:t>Debt-to-Income ratio.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Solicitud de crédito</w:t>
      </w:r>
    </w:p>
    <w:p>
      <w:r>
        <w:rPr>
          <w:rFonts w:ascii="Calibri" w:hAnsi="Calibri"/>
          <w:b w:val="0"/>
          <w:i w:val="0"/>
          <w:sz w:val="21"/>
        </w:rPr>
        <w:t>☐  Análisis crediticio (DTI)</w:t>
      </w:r>
    </w:p>
    <w:p>
      <w:r>
        <w:rPr>
          <w:rFonts w:ascii="Calibri" w:hAnsi="Calibri"/>
          <w:b w:val="0"/>
          <w:i w:val="0"/>
          <w:sz w:val="21"/>
        </w:rPr>
        <w:t>☐  DPI</w:t>
      </w:r>
    </w:p>
    <w:p>
      <w:r>
        <w:rPr>
          <w:rFonts w:ascii="Calibri" w:hAnsi="Calibri"/>
          <w:b w:val="0"/>
          <w:i w:val="0"/>
          <w:sz w:val="21"/>
        </w:rPr>
        <w:t>☐  Constancia de ingresos</w:t>
      </w:r>
    </w:p>
    <w:p>
      <w:r>
        <w:rPr>
          <w:rFonts w:ascii="Calibri" w:hAnsi="Calibri"/>
          <w:b w:val="0"/>
          <w:i w:val="0"/>
          <w:sz w:val="21"/>
        </w:rPr>
        <w:t>☐  Consulta a centrales</w:t>
      </w:r>
    </w:p>
    <w:p>
      <w:r>
        <w:rPr>
          <w:rFonts w:ascii="Calibri" w:hAnsi="Calibri"/>
          <w:b w:val="0"/>
          <w:i w:val="0"/>
          <w:sz w:val="21"/>
        </w:rPr>
        <w:t>☐  Aprobación del comité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