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ACUERDO DE SUBORDINACIÓN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Autonomía contractual — práctica internacional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'ACREEDOR SENIOR'.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'ACREEDOR JUNIOR (SUBORDINADO)'.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Establecimiento de prelación entre acreedores.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PRELACIÓN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JUNIOR acepta subordinarse al SENIOR en pagos, garantías y ejecución.</w:t>
      </w:r>
    </w:p>
    <w:p>
      <w:pPr>
        <w:jc w:val="left"/>
      </w:pPr>
      <w:r>
        <w:rPr>
          <w:b/>
          <w:color w:val="2E4E7C"/>
          <w:sz w:val="22"/>
        </w:rPr>
        <w:t>SEGUNDA: STANDSTILL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JUNIOR no podrá ejercer remedios sin consentimiento del SENIOR hasta el pago completo del senior.</w:t>
      </w:r>
    </w:p>
    <w:p>
      <w:pPr>
        <w:jc w:val="left"/>
      </w:pPr>
      <w:r>
        <w:rPr>
          <w:b/>
          <w:color w:val="2E4E7C"/>
          <w:sz w:val="22"/>
        </w:rPr>
        <w:t>TERCERA: PAGOS PERMITIDOS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JUNIOR puede recibir pagos regulares mientras no haya evento de incumplimiento en el SENIOR.</w:t>
      </w:r>
    </w:p>
    <w:p>
      <w:pPr>
        <w:jc w:val="left"/>
      </w:pPr>
      <w:r>
        <w:rPr>
          <w:b/>
          <w:color w:val="2E4E7C"/>
          <w:sz w:val="22"/>
        </w:rPr>
        <w:t>CUARTA: BLOQUEO DE PAGOS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En evento de incumplimiento del senior: todos los pagos al JUNIOR se bloquean hasta resolución.</w:t>
      </w:r>
    </w:p>
    <w:p>
      <w:pPr>
        <w:jc w:val="left"/>
      </w:pPr>
      <w:r>
        <w:rPr>
          <w:b/>
          <w:color w:val="2E4E7C"/>
          <w:sz w:val="22"/>
        </w:rPr>
        <w:t>QUINTA: DISTRIBUCIÓN EN INSOLVENCIA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Senior cobra primero; junior solo del remanente.</w:t>
      </w:r>
    </w:p>
    <w:p>
      <w:pPr>
        <w:jc w:val="left"/>
      </w:pPr>
      <w:r>
        <w:rPr>
          <w:b/>
          <w:color w:val="2E4E7C"/>
          <w:sz w:val="22"/>
        </w:rPr>
        <w:t>SEXTA: AMENDMENTS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Modificaciones requieren consentimiento de senior.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CONTRACTUAL vs STRUCTURAL SUBORDINATION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Subordinación por contrato o por estructura corporativa.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ACREEDOR SENIOR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ACREEDOR JUNIOR (SUBORDINADO)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Crítico para estructuras de financiamiento con múltiples capas (senior debt, mezzanine, equity).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en RGM si afecta a garantías.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Documenta la 'pirámide de capital'.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Cuidado en escenarios de quiebra (concursales).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[SENIOR DEBT]</w:t>
            </w:r>
          </w:p>
        </w:tc>
        <w:tc>
          <w:tcPr>
            <w:tcW w:type="dxa" w:w="4703"/>
          </w:tcPr>
          <w:p>
            <w:r>
              <w:t>Deuda con prelación superior.</w:t>
            </w:r>
          </w:p>
        </w:tc>
      </w:tr>
      <w:tr>
        <w:tc>
          <w:tcPr>
            <w:tcW w:type="dxa" w:w="4703"/>
          </w:tcPr>
          <w:p>
            <w:r>
              <w:t>[MEZZANINE]</w:t>
            </w:r>
          </w:p>
        </w:tc>
        <w:tc>
          <w:tcPr>
            <w:tcW w:type="dxa" w:w="4703"/>
          </w:tcPr>
          <w:p>
            <w:r>
              <w:t>Deuda intermedia.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Identificación de senior y junior</w:t>
      </w:r>
    </w:p>
    <w:p>
      <w:r>
        <w:rPr>
          <w:rFonts w:ascii="Calibri" w:hAnsi="Calibri"/>
          <w:b w:val="0"/>
          <w:i w:val="0"/>
          <w:sz w:val="21"/>
        </w:rPr>
        <w:t>☐  Cláusulas standstill</w:t>
      </w:r>
    </w:p>
    <w:p>
      <w:r>
        <w:rPr>
          <w:rFonts w:ascii="Calibri" w:hAnsi="Calibri"/>
          <w:b w:val="0"/>
          <w:i w:val="0"/>
          <w:sz w:val="21"/>
        </w:rPr>
        <w:t>☐  Definición de pagos permitidos</w:t>
      </w:r>
    </w:p>
    <w:p>
      <w:r>
        <w:rPr>
          <w:rFonts w:ascii="Calibri" w:hAnsi="Calibri"/>
          <w:b w:val="0"/>
          <w:i w:val="0"/>
          <w:sz w:val="21"/>
        </w:rPr>
        <w:t>☐  Documentación de respaldo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