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PRÉSTAMO SINDICADO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Código de Comercio + práctica internacional (LMA / LSTA)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'LOS PRESTAMISTAS (SINDICATO)'.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ACREDITADO'.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Préstamo grande co-prestado por múltiples bancos.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Y MONEDA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US$[MONTO] o equivalente. Cada banco compromete su parte.</w:t>
      </w:r>
    </w:p>
    <w:p>
      <w:pPr>
        <w:jc w:val="left"/>
      </w:pPr>
      <w:r>
        <w:rPr>
          <w:b/>
          <w:color w:val="2E4E7C"/>
          <w:sz w:val="22"/>
        </w:rPr>
        <w:t>SEGUNDA: BANCOS Y CUOTAS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Banco A [#]%; Banco B [#]%; ... Banco Agente: [NOMBRE].</w:t>
      </w:r>
    </w:p>
    <w:p>
      <w:pPr>
        <w:jc w:val="left"/>
      </w:pPr>
      <w:r>
        <w:rPr>
          <w:b/>
          <w:color w:val="2E4E7C"/>
          <w:sz w:val="22"/>
        </w:rPr>
        <w:t>TERCERA: AGENTE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Banco Agente coordina, recibe pagos y distribuye, gestiona avisos, ejerce derechos.</w:t>
      </w:r>
    </w:p>
    <w:p>
      <w:pPr>
        <w:jc w:val="left"/>
      </w:pPr>
      <w:r>
        <w:rPr>
          <w:b/>
          <w:color w:val="2E4E7C"/>
          <w:sz w:val="22"/>
        </w:rPr>
        <w:t>CUARTA: TASA Y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LIBOR/SOFR + margen [#] bps; plazo [#] años.</w:t>
      </w:r>
    </w:p>
    <w:p>
      <w:pPr>
        <w:jc w:val="left"/>
      </w:pPr>
      <w:r>
        <w:rPr>
          <w:b/>
          <w:color w:val="2E4E7C"/>
          <w:sz w:val="22"/>
        </w:rPr>
        <w:t>QUINTA: DESEMBOLSOS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tramos según uso de fondos.</w:t>
      </w:r>
    </w:p>
    <w:p>
      <w:pPr>
        <w:jc w:val="left"/>
      </w:pPr>
      <w:r>
        <w:rPr>
          <w:b/>
          <w:color w:val="2E4E7C"/>
          <w:sz w:val="22"/>
        </w:rPr>
        <w:t>SEXTA: COVENANTS Y EVENTOS DE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Financieros y operativos; cross-default; insolvencia; cambio de control.</w:t>
      </w:r>
    </w:p>
    <w:p>
      <w:pPr>
        <w:jc w:val="left"/>
      </w:pPr>
      <w:r>
        <w:rPr>
          <w:b/>
          <w:color w:val="2E4E7C"/>
          <w:sz w:val="22"/>
        </w:rPr>
        <w:t>SÉPTIMA: GARANTÍAS COMPARTIDAS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Pari passu entre prestamistas.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prestamista puede ceder su parte sujeto a las condiciones del contrato.</w:t>
      </w:r>
    </w:p>
    <w:p>
      <w:pPr>
        <w:jc w:val="left"/>
      </w:pPr>
      <w:r>
        <w:rPr>
          <w:b/>
          <w:color w:val="2E4E7C"/>
          <w:sz w:val="22"/>
        </w:rPr>
        <w:t>NOVENA: MAYORÍAS PARA DECISIONES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Mayoría simple para decisiones; unanimidad para asuntos críticos.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PARI PASSU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Igual prelación entre prestamistas.</w:t>
      </w:r>
    </w:p>
    <w:p>
      <w:pPr>
        <w:jc w:val="left"/>
      </w:pPr>
      <w:r>
        <w:rPr>
          <w:b/>
          <w:color w:val="2E4E7C"/>
          <w:sz w:val="22"/>
        </w:rPr>
        <w:t>[OPCIONAL] INTERCREDITOR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Acuerdo entre prestamistas senior y junior.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LOS PRESTAMISTAS (SINDICATO)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ACREDITADO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Práctica internacional LMA (Londres) o LSTA (NY).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Banco agente representa al sindicato.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Documentación extensa: facility agreement, security documents, intercreditor.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aplicable usualmente extranjera (NY o Inglesa).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consulta a abogados especializados.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garantías en GT: cumplimiento RGP/RGM.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[LMA]</w:t>
            </w:r>
          </w:p>
        </w:tc>
        <w:tc>
          <w:tcPr>
            <w:tcW w:type="dxa" w:w="4703"/>
          </w:tcPr>
          <w:p>
            <w:r>
              <w:t>Loan Market Association.</w:t>
            </w:r>
          </w:p>
        </w:tc>
      </w:tr>
      <w:tr>
        <w:tc>
          <w:tcPr>
            <w:tcW w:type="dxa" w:w="4703"/>
          </w:tcPr>
          <w:p>
            <w:r>
              <w:t>[SOFR]</w:t>
            </w:r>
          </w:p>
        </w:tc>
        <w:tc>
          <w:tcPr>
            <w:tcW w:type="dxa" w:w="4703"/>
          </w:tcPr>
          <w:p>
            <w:r>
              <w:t>Secured Overnight Financing Rate.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Term sheet</w:t>
      </w:r>
    </w:p>
    <w:p>
      <w:r>
        <w:rPr>
          <w:rFonts w:ascii="Calibri" w:hAnsi="Calibri"/>
          <w:b w:val="0"/>
          <w:i w:val="0"/>
          <w:sz w:val="21"/>
        </w:rPr>
        <w:t>☐  Modelo financiero</w:t>
      </w:r>
    </w:p>
    <w:p>
      <w:r>
        <w:rPr>
          <w:rFonts w:ascii="Calibri" w:hAnsi="Calibri"/>
          <w:b w:val="0"/>
          <w:i w:val="0"/>
          <w:sz w:val="21"/>
        </w:rPr>
        <w:t>☐  Due diligence</w:t>
      </w:r>
    </w:p>
    <w:p>
      <w:r>
        <w:rPr>
          <w:rFonts w:ascii="Calibri" w:hAnsi="Calibri"/>
          <w:b w:val="0"/>
          <w:i w:val="0"/>
          <w:sz w:val="21"/>
        </w:rPr>
        <w:t>☐  Information memo</w:t>
      </w:r>
    </w:p>
    <w:p>
      <w:r>
        <w:rPr>
          <w:rFonts w:ascii="Calibri" w:hAnsi="Calibri"/>
          <w:b w:val="0"/>
          <w:i w:val="0"/>
          <w:sz w:val="21"/>
        </w:rPr>
        <w:t>☐  Opinions legales</w:t>
      </w:r>
    </w:p>
    <w:p>
      <w:r>
        <w:rPr>
          <w:rFonts w:ascii="Calibri" w:hAnsi="Calibri"/>
          <w:b w:val="0"/>
          <w:i w:val="0"/>
          <w:sz w:val="21"/>
        </w:rPr>
        <w:t>☐  Documentación de garantías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