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UNDERWRITING / SUSCRIPCIÓN DE EMISIÓN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Mercado de Valores (Decreto 34-96)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UNDERWRITER (BANCO DE INVERSIÓN)'.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Estructuración y colocación de emisión de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Suscripción de [#] [acciones / bonos / pagarés bursátiles] por monto de Q[MONTO].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[En firme — banco compra; Stand-by — compra residual; Mejor esfuerzo — sin compromiso].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por título; descuento [#]% para underwriter.</w:t>
      </w:r>
    </w:p>
    <w:p>
      <w:pPr>
        <w:jc w:val="left"/>
      </w:pPr>
      <w:r>
        <w:rPr>
          <w:b/>
          <w:color w:val="2E4E7C"/>
          <w:sz w:val="22"/>
        </w:rPr>
        <w:t>CUARTA: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Registro RMV; due diligence; ausencia de MAC; condiciones de mercado.</w:t>
      </w:r>
    </w:p>
    <w:p>
      <w:pPr>
        <w:jc w:val="left"/>
      </w:pPr>
      <w:r>
        <w:rPr>
          <w:b/>
          <w:color w:val="2E4E7C"/>
          <w:sz w:val="22"/>
        </w:rPr>
        <w:t>QUINTA: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Emisor indemniza a underwriter por información falsa en folleto.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GREEN SHOE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Opción de sobre-asignación al underwriter.</w:t>
      </w:r>
    </w:p>
    <w:p>
      <w:pPr>
        <w:jc w:val="left"/>
      </w:pPr>
      <w:r>
        <w:rPr>
          <w:b/>
          <w:color w:val="2E4E7C"/>
          <w:sz w:val="22"/>
        </w:rPr>
        <w:t>[OPCIONAL] BOOKBUILDING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Construcción de libro de demanda.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UNDERWRITER (BANCO DE INVERSIÓN)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Mercado de Valores (Dto. 34-96).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 de la emisión en el Registro del Mercado de Valores y Mercancías (RMV).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Folleto informativo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Bolsa de Valores 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Underwriting típicamente reservado a casas de bolsa o bancos de inversión.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[UNDERWRITER]</w:t>
            </w:r>
          </w:p>
        </w:tc>
        <w:tc>
          <w:tcPr>
            <w:tcW w:type="dxa" w:w="4703"/>
          </w:tcPr>
          <w:p>
            <w:r>
              <w:t>Banco que asegura colocación de emisión.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Folleto informativo</w:t>
      </w:r>
    </w:p>
    <w:p>
      <w:r>
        <w:rPr>
          <w:rFonts w:ascii="Calibri" w:hAnsi="Calibri"/>
          <w:b w:val="0"/>
          <w:i w:val="0"/>
          <w:sz w:val="21"/>
        </w:rPr>
        <w:t>☐  Registro RMV</w:t>
      </w:r>
    </w:p>
    <w:p>
      <w:r>
        <w:rPr>
          <w:rFonts w:ascii="Calibri" w:hAnsi="Calibri"/>
          <w:b w:val="0"/>
          <w:i w:val="0"/>
          <w:sz w:val="21"/>
        </w:rPr>
        <w:t>☐  Calificación de riesgo</w:t>
      </w:r>
    </w:p>
    <w:p>
      <w:r>
        <w:rPr>
          <w:rFonts w:ascii="Calibri" w:hAnsi="Calibri"/>
          <w:b w:val="0"/>
          <w:i w:val="0"/>
          <w:sz w:val="21"/>
        </w:rPr>
        <w:t>☐  Roadshow</w:t>
      </w:r>
    </w:p>
    <w:p>
      <w:r>
        <w:rPr>
          <w:rFonts w:ascii="Calibri" w:hAnsi="Calibri"/>
          <w:b w:val="0"/>
          <w:i w:val="0"/>
          <w:sz w:val="21"/>
        </w:rPr>
        <w:t>☐  Cierre de libro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