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AGENCIA COMERCIAL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Autonomía contractual + leyes locales del agente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PRINCIPAL'.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AGENTE INTERNACIONAL'.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Agente comercial promueve ventas del principal en territorio extranjero.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Promoción del catálogo del principal en [TERRITORIO]; agente NO compra para revender.</w:t>
      </w:r>
    </w:p>
    <w:p>
      <w:pPr>
        <w:jc w:val="left"/>
      </w:pPr>
      <w:r>
        <w:rPr>
          <w:b/>
          <w:color w:val="2E4E7C"/>
          <w:sz w:val="22"/>
        </w:rPr>
        <w:t>SEGUNDA: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ventas en el territorio, cobradas y mantenidas.</w:t>
      </w:r>
    </w:p>
    <w:p>
      <w:pPr>
        <w:jc w:val="left"/>
      </w:pPr>
      <w:r>
        <w:rPr>
          <w:b/>
          <w:color w:val="2E4E7C"/>
          <w:sz w:val="22"/>
        </w:rPr>
        <w:t>CUARTA: FACULTADES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Promoción, recepción de pedidos, asistencia postventa. Sin facultad de firmar contratos salvo autorización expresa.</w:t>
      </w:r>
    </w:p>
    <w:p>
      <w:pPr>
        <w:jc w:val="left"/>
      </w:pPr>
      <w:r>
        <w:rPr>
          <w:b/>
          <w:color w:val="2E4E7C"/>
          <w:sz w:val="22"/>
        </w:rPr>
        <w:t>QUINTA: OBLIGACIONES DEL AGENTE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Buena fe; defensa de intereses del principal; reportes; cumplimiento de normas locales.</w:t>
      </w:r>
    </w:p>
    <w:p>
      <w:pPr>
        <w:jc w:val="left"/>
      </w:pPr>
      <w:r>
        <w:rPr>
          <w:b/>
          <w:color w:val="2E4E7C"/>
          <w:sz w:val="22"/>
        </w:rPr>
        <w:t>SEXTA: INDEMNIZACIÓN POR CLIENTELA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jurisdicciones que la reconocen (UE Directiva 86/653, etc.): equivalente al promedio de comisiones anuales.</w:t>
      </w:r>
    </w:p>
    <w:p>
      <w:pPr>
        <w:jc w:val="left"/>
      </w:pPr>
      <w:r>
        <w:rPr>
          <w:b/>
          <w:color w:val="2E4E7C"/>
          <w:sz w:val="22"/>
        </w:rPr>
        <w:t>SÉPTIMA: LEY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Cuidar normas imperativas del país del agente.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AGENTE EXCLUSIVO REGIONAL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países en una región.</w:t>
      </w:r>
    </w:p>
    <w:p>
      <w:pPr>
        <w:jc w:val="left"/>
      </w:pPr>
      <w:r>
        <w:rPr>
          <w:b/>
          <w:color w:val="2E4E7C"/>
          <w:sz w:val="22"/>
        </w:rPr>
        <w:t>[OPCIONAL] EXIT INDEMNITY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Pre-acordada para evitar litigio.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PRINCIPAL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AGENTE INTERNACIONAL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UE: Directiva 86/653 — indemnización obligatoria por clientela.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España, Bélgica, Alemania, etc. tienen normas protectoras.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Bélgica: ley imperativa de aplicación territorial.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correcta calificación: agente vs. distribuidor (diferente régimen legal).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Anti-corrupción: agentes vulnerables a sobornos.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[INDEMNIZACIÓN POR CLIENTELA]</w:t>
            </w:r>
          </w:p>
        </w:tc>
        <w:tc>
          <w:tcPr>
            <w:tcW w:type="dxa" w:w="4703"/>
          </w:tcPr>
          <w:p>
            <w:r>
              <w:t>Compensación al agente por la cartera generada.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país del agente</w:t>
      </w:r>
    </w:p>
    <w:p>
      <w:r>
        <w:rPr>
          <w:rFonts w:ascii="Calibri" w:hAnsi="Calibri"/>
          <w:b w:val="0"/>
          <w:i w:val="0"/>
          <w:sz w:val="21"/>
        </w:rPr>
        <w:t>☐  Compliance anti-corrupción del agente</w:t>
      </w:r>
    </w:p>
    <w:p>
      <w:r>
        <w:rPr>
          <w:rFonts w:ascii="Calibri" w:hAnsi="Calibri"/>
          <w:b w:val="0"/>
          <w:i w:val="0"/>
          <w:sz w:val="21"/>
        </w:rPr>
        <w:t>☐  Marketing materiales</w:t>
      </w:r>
    </w:p>
    <w:p>
      <w:r>
        <w:rPr>
          <w:rFonts w:ascii="Calibri" w:hAnsi="Calibri"/>
          <w:b w:val="0"/>
          <w:i w:val="0"/>
          <w:sz w:val="21"/>
        </w:rPr>
        <w:t>☐  Reportes acordados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