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CLÁUSULA / ACUERDO DE ARBITRAJE CCI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Reglamento CCI (ICC International Court of Arbitration) y Ley de Arbitraje (Dto. 67-95)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'PARTE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'PARTE 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Sumisión de controversias a arbitraje internacional CCI.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 derivada o relacionada con [CONTRATO PRINCIPAL] se resolverá por arbitraje.</w:t>
      </w:r>
    </w:p>
    <w:p>
      <w:pPr>
        <w:jc w:val="left"/>
      </w:pPr>
      <w:r>
        <w:rPr>
          <w:b/>
          <w:color w:val="2E4E7C"/>
          <w:sz w:val="22"/>
        </w:rPr>
        <w:t>SEGUNDA: INSTITUCIÓN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Arbitraje administrado por la International Court of Arbitration de la ICC (Cámara de Comercio Internacional).</w:t>
      </w:r>
    </w:p>
    <w:p>
      <w:pPr>
        <w:jc w:val="left"/>
      </w:pPr>
      <w:r>
        <w:rPr>
          <w:b/>
          <w:color w:val="2E4E7C"/>
          <w:sz w:val="22"/>
        </w:rPr>
        <w:t>TERCERA: REGLAS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Reglamento de Arbitraje de la CCI vigente.</w:t>
      </w:r>
    </w:p>
    <w:p>
      <w:pPr>
        <w:jc w:val="left"/>
      </w:pPr>
      <w:r>
        <w:rPr>
          <w:b/>
          <w:color w:val="2E4E7C"/>
          <w:sz w:val="22"/>
        </w:rPr>
        <w:t>CUARTA: NÚMERO DE ÁRBITROS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[Uno / Tres]</w:t>
      </w:r>
    </w:p>
    <w:p>
      <w:pPr>
        <w:jc w:val="left"/>
      </w:pPr>
      <w:r>
        <w:rPr>
          <w:b/>
          <w:color w:val="2E4E7C"/>
          <w:sz w:val="22"/>
        </w:rPr>
        <w:t>QUINTA: SEDE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[Ciudad de Guatemala / París / Nueva York / Madrid]</w:t>
      </w:r>
    </w:p>
    <w:p>
      <w:pPr>
        <w:jc w:val="left"/>
      </w:pPr>
      <w:r>
        <w:rPr>
          <w:b/>
          <w:color w:val="2E4E7C"/>
          <w:sz w:val="22"/>
        </w:rPr>
        <w:t>SEXTA: IDIOMA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[Español / Inglés]</w:t>
      </w:r>
    </w:p>
    <w:p>
      <w:pPr>
        <w:jc w:val="left"/>
      </w:pPr>
      <w:r>
        <w:rPr>
          <w:b/>
          <w:color w:val="2E4E7C"/>
          <w:sz w:val="22"/>
        </w:rPr>
        <w:t>SÉPTIMA: LEY APLICABLE AL FONDO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Ley de [Guatemala / otro].</w:t>
      </w:r>
    </w:p>
    <w:p>
      <w:pPr>
        <w:jc w:val="left"/>
      </w:pPr>
      <w:r>
        <w:rPr>
          <w:b/>
          <w:color w:val="2E4E7C"/>
          <w:sz w:val="22"/>
        </w:rPr>
        <w:t>OCTAVA: LEY DE ARBITRAJE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Ley del lugar de la sede (Lex arbitri).</w:t>
      </w:r>
    </w:p>
    <w:p>
      <w:pPr>
        <w:jc w:val="left"/>
      </w:pPr>
      <w:r>
        <w:rPr>
          <w:b/>
          <w:color w:val="2E4E7C"/>
          <w:sz w:val="22"/>
        </w:rPr>
        <w:t>NOVENA: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la Convención de Nueva York 1958 (Guatemala parte).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ARBITRAJE EXPEDITED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casos menores — más rápido y barato.</w:t>
      </w:r>
    </w:p>
    <w:p>
      <w:pPr>
        <w:jc w:val="left"/>
      </w:pPr>
      <w:r>
        <w:rPr>
          <w:b/>
          <w:color w:val="2E4E7C"/>
          <w:sz w:val="22"/>
        </w:rPr>
        <w:t>[OPCIONAL] EMERGENCY ARBITRATOR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Medidas cautelares previas a constitución del tribunal.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B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Guatemala: Ley de Arbitraje Dto. 67-95 (basada en Ley Modelo UNCITRAL).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Convención de Nueva York 1958: ejecución de laudos internacionales.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Convención de Panamá 1975 también aplicable.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Arbitraje CCI: prestigio y profesionalismo; costoso.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Sede determina lex arbitri y jurisdicción para anulación.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Confidencialidad: amplia en CCI.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[CCI / ICC]</w:t>
            </w:r>
          </w:p>
        </w:tc>
        <w:tc>
          <w:tcPr>
            <w:tcW w:type="dxa" w:w="4703"/>
          </w:tcPr>
          <w:p>
            <w:r>
              <w:t>International Court of Arbitration.</w:t>
            </w:r>
          </w:p>
        </w:tc>
      </w:tr>
      <w:tr>
        <w:tc>
          <w:tcPr>
            <w:tcW w:type="dxa" w:w="4703"/>
          </w:tcPr>
          <w:p>
            <w:r>
              <w:t>[CONVENCIÓN NY]</w:t>
            </w:r>
          </w:p>
        </w:tc>
        <w:tc>
          <w:tcPr>
            <w:tcW w:type="dxa" w:w="4703"/>
          </w:tcPr>
          <w:p>
            <w:r>
              <w:t>Tratado para ejecución de laudos.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Cláusula bien redactada</w:t>
      </w:r>
    </w:p>
    <w:p>
      <w:r>
        <w:rPr>
          <w:rFonts w:ascii="Calibri" w:hAnsi="Calibri"/>
          <w:b w:val="0"/>
          <w:i w:val="0"/>
          <w:sz w:val="21"/>
        </w:rPr>
        <w:t>☐  Selección de sede</w:t>
      </w:r>
    </w:p>
    <w:p>
      <w:r>
        <w:rPr>
          <w:rFonts w:ascii="Calibri" w:hAnsi="Calibri"/>
          <w:b w:val="0"/>
          <w:i w:val="0"/>
          <w:sz w:val="21"/>
        </w:rPr>
        <w:t>☐  Selección de árbitros (calificaciones)</w:t>
      </w:r>
    </w:p>
    <w:p>
      <w:r>
        <w:rPr>
          <w:rFonts w:ascii="Calibri" w:hAnsi="Calibri"/>
          <w:b w:val="0"/>
          <w:i w:val="0"/>
          <w:sz w:val="21"/>
        </w:rPr>
        <w:t>☐  Estructura de costos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