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CARGA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Institute Cargo Clauses (ICC) — Londres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mercancías durante transporte internacional.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MERCANCÍA Y RUTA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[DESCRIPCIÓN]; origen-destino.</w:t>
      </w:r>
    </w:p>
    <w:p>
      <w:pPr>
        <w:jc w:val="left"/>
      </w:pPr>
      <w:r>
        <w:rPr>
          <w:b/>
          <w:color w:val="2E4E7C"/>
          <w:sz w:val="22"/>
        </w:rPr>
        <w:t>SEGUNDA: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ICC (A) todo riesgo / ICC (B) cobertura limitada / ICC (C) básica.</w:t>
      </w:r>
    </w:p>
    <w:p>
      <w:pPr>
        <w:jc w:val="left"/>
      </w:pPr>
      <w:r>
        <w:rPr>
          <w:b/>
          <w:color w:val="2E4E7C"/>
          <w:sz w:val="22"/>
        </w:rPr>
        <w:t>TERCERA: VALOR ASEGURADO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CIF + 10% utilidad.</w:t>
      </w:r>
    </w:p>
    <w:p>
      <w:pPr>
        <w:jc w:val="left"/>
      </w:pPr>
      <w:r>
        <w:rPr>
          <w:b/>
          <w:color w:val="2E4E7C"/>
          <w:sz w:val="22"/>
        </w:rPr>
        <w:t>CUARTA: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Warehouse to warehouse — desde bodega de origen hasta destino final.</w:t>
      </w:r>
    </w:p>
    <w:p>
      <w:pPr>
        <w:jc w:val="left"/>
      </w:pPr>
      <w:r>
        <w:rPr>
          <w:b/>
          <w:color w:val="2E4E7C"/>
          <w:sz w:val="22"/>
        </w:rPr>
        <w:t>QUINTA: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Naturaleza del bien, embalaje deficiente, retardo, guerra (cobertura aparte).</w:t>
      </w:r>
    </w:p>
    <w:p>
      <w:pPr>
        <w:jc w:val="left"/>
      </w:pPr>
      <w:r>
        <w:rPr>
          <w:b/>
          <w:color w:val="2E4E7C"/>
          <w:sz w:val="22"/>
        </w:rPr>
        <w:t>SEXTA: RECLAMACIÓN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Notificar dentro de [#] días; survey por ajustador.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PÓLIZA ABIERTA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Cubre múltiples embarques bajo declaración periódica.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ASEGURADO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ICC son cláusulas Londres — estándar global.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(A) = all risks; (B) y (C) = riesgos enumerados.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Guerra y huelga: coberturas adicionales (War &amp; Strikes Clauses).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Importante: warehouse to warehouse coverage.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[ICC]</w:t>
            </w:r>
          </w:p>
        </w:tc>
        <w:tc>
          <w:tcPr>
            <w:tcW w:type="dxa" w:w="4703"/>
          </w:tcPr>
          <w:p>
            <w:r>
              <w:t>Institute Cargo Clauses.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Detalle de mercancía</w:t>
      </w:r>
    </w:p>
    <w:p>
      <w:r>
        <w:rPr>
          <w:rFonts w:ascii="Calibri" w:hAnsi="Calibri"/>
          <w:b w:val="0"/>
          <w:i w:val="0"/>
          <w:sz w:val="21"/>
        </w:rPr>
        <w:t>☐  Empaque adecuado</w:t>
      </w:r>
    </w:p>
    <w:p>
      <w:r>
        <w:rPr>
          <w:rFonts w:ascii="Calibri" w:hAnsi="Calibri"/>
          <w:b w:val="0"/>
          <w:i w:val="0"/>
          <w:sz w:val="21"/>
        </w:rPr>
        <w:t>☐  Documentación de embarque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