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STANDBY LETTER OF CREDIT (SBLC)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ISP 98 ICC o UCP 600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BANCO EMISOR'.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BENEFICIARIO'.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Carta de crédito stand-by como garantía de cumplimiento de obligación.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OBLIGACIÓN GARANTIZADA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[Pago / cumplimiento de obra / suministro / mantenimiento de oferta].</w:t>
      </w:r>
    </w:p>
    <w:p>
      <w:pPr>
        <w:jc w:val="left"/>
      </w:pPr>
      <w:r>
        <w:rPr>
          <w:b/>
          <w:color w:val="2E4E7C"/>
          <w:sz w:val="22"/>
        </w:rPr>
        <w:t>SEGUNDA: MONTO Y VIGENCIA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US$[#] hasta [FECHA].</w:t>
      </w:r>
    </w:p>
    <w:p>
      <w:pPr>
        <w:jc w:val="left"/>
      </w:pPr>
      <w:r>
        <w:rPr>
          <w:b/>
          <w:color w:val="2E4E7C"/>
          <w:sz w:val="22"/>
        </w:rPr>
        <w:t>TERCERA: CONDICIONES DE PAGO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 primer requerimiento del beneficiario con declaración escrita de incumplimiento.</w:t>
      </w:r>
    </w:p>
    <w:p>
      <w:pPr>
        <w:jc w:val="left"/>
      </w:pPr>
      <w:r>
        <w:rPr>
          <w:b/>
          <w:color w:val="2E4E7C"/>
          <w:sz w:val="22"/>
        </w:rPr>
        <w:t>CUARTA: DOCUMENTOS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Mínimos — generalmente solo declaración de incumplimiento.</w:t>
      </w:r>
    </w:p>
    <w:p>
      <w:pPr>
        <w:jc w:val="left"/>
      </w:pPr>
      <w:r>
        <w:rPr>
          <w:b/>
          <w:color w:val="2E4E7C"/>
          <w:sz w:val="22"/>
        </w:rPr>
        <w:t>QUINTA: REGLAS APLICABLES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ISP 98 (más práctica para SBLC) o UCP 600.</w:t>
      </w:r>
    </w:p>
    <w:p>
      <w:pPr>
        <w:jc w:val="left"/>
      </w:pPr>
      <w:r>
        <w:rPr>
          <w:b/>
          <w:color w:val="2E4E7C"/>
          <w:sz w:val="22"/>
        </w:rPr>
        <w:t>SEXTA: RENOVACIÓN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Automática hasta cancelación expresa.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DIRECT PAY SBLC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Mecanismo de pago principal en bonos.</w:t>
      </w:r>
    </w:p>
    <w:p>
      <w:pPr>
        <w:jc w:val="left"/>
      </w:pPr>
      <w:r>
        <w:rPr>
          <w:b/>
          <w:color w:val="2E4E7C"/>
          <w:sz w:val="22"/>
        </w:rPr>
        <w:t>[OPCIONAL] PERFORMANCE SBLC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Garantía de cumplimiento.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BANCO EMISOR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BENEFICIARIO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SBLC = garantía bancaria a primer requerimiento.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Independiente del contrato subyacente.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Frecuente en construcción, oil &amp; gas, contratos internacionales grandes.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ISP 98 = International Standby Practices (más específico que UCP).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[SBLC]</w:t>
            </w:r>
          </w:p>
        </w:tc>
        <w:tc>
          <w:tcPr>
            <w:tcW w:type="dxa" w:w="4703"/>
          </w:tcPr>
          <w:p>
            <w:r>
              <w:t>Standby Letter of Credit.</w:t>
            </w:r>
          </w:p>
        </w:tc>
      </w:tr>
      <w:tr>
        <w:tc>
          <w:tcPr>
            <w:tcW w:type="dxa" w:w="4703"/>
          </w:tcPr>
          <w:p>
            <w:r>
              <w:t>[ISP 98]</w:t>
            </w:r>
          </w:p>
        </w:tc>
        <w:tc>
          <w:tcPr>
            <w:tcW w:type="dxa" w:w="4703"/>
          </w:tcPr>
          <w:p>
            <w:r>
              <w:t>International Standby Practices.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Análisis del beneficiario</w:t>
      </w:r>
    </w:p>
    <w:p>
      <w:r>
        <w:rPr>
          <w:rFonts w:ascii="Calibri" w:hAnsi="Calibri"/>
          <w:b w:val="0"/>
          <w:i w:val="0"/>
          <w:sz w:val="21"/>
        </w:rPr>
        <w:t>☐  Línea de crédito del ordenante</w:t>
      </w:r>
    </w:p>
    <w:p>
      <w:r>
        <w:rPr>
          <w:rFonts w:ascii="Calibri" w:hAnsi="Calibri"/>
          <w:b w:val="0"/>
          <w:i w:val="0"/>
          <w:sz w:val="21"/>
        </w:rPr>
        <w:t>☐  Documentación mínima clara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