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SERVICIOS DE COBRANZA EXTRAJUDICIAL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LPC + Reglamento de Cobros (DIACO)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ACREEDOR'.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'LA AGENCIA DE COBRANZA'.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Contratación de servicios profesionales de cobranza respetando derechos del deudor.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ALCANCE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Gestión de cobranza de deudores morosos; sin acoso.</w:t>
      </w:r>
    </w:p>
    <w:p>
      <w:pPr>
        <w:jc w:val="left"/>
      </w:pPr>
      <w:r>
        <w:rPr>
          <w:b/>
          <w:color w:val="2E4E7C"/>
          <w:sz w:val="22"/>
        </w:rPr>
        <w:t>SEGUNDA: PROHIBICIONES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Llamadas en horarios indebidos; (b) amenazas, intimidación; (c) divulgación de la deuda a terceros; (d) cobrar montos no debidos; (e) contactar a familiares con propósito de presión.</w:t>
      </w:r>
    </w:p>
    <w:p>
      <w:pPr>
        <w:jc w:val="left"/>
      </w:pPr>
      <w:r>
        <w:rPr>
          <w:b/>
          <w:color w:val="2E4E7C"/>
          <w:sz w:val="22"/>
        </w:rPr>
        <w:t>TERCERA: CUMPLIMIENTO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Reglamento de Cobros (DIACO) y prácticas éticas.</w:t>
      </w:r>
    </w:p>
    <w:p>
      <w:pPr>
        <w:jc w:val="left"/>
      </w:pPr>
      <w:r>
        <w:rPr>
          <w:b/>
          <w:color w:val="2E4E7C"/>
          <w:sz w:val="22"/>
        </w:rPr>
        <w:t>CUARTA: COMISIÓN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% sobre lo recuperado.</w:t>
      </w:r>
    </w:p>
    <w:p>
      <w:pPr>
        <w:jc w:val="left"/>
      </w:pPr>
      <w:r>
        <w:rPr>
          <w:b/>
          <w:color w:val="2E4E7C"/>
          <w:sz w:val="22"/>
        </w:rPr>
        <w:t>QUINTA: RESPONSABILIDAD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Agencia responde por excesos.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COBRANZA JUDICIAL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Vía abogados; proceso ejecutivo.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ACREEDOR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AGENCIA DE COBRANZA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DIACO regula cobranza extrajudicial.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Prohibido acoso al deudor.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Horarios: 8am - 8pm, no domingos.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Sanciones por violaciones.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cobranza implica tarjetas: Ley de TC también.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[COBRANZA EXTRAJUDICIAL]</w:t>
            </w:r>
          </w:p>
        </w:tc>
        <w:tc>
          <w:tcPr>
            <w:tcW w:type="dxa" w:w="4703"/>
          </w:tcPr>
          <w:p>
            <w:r>
              <w:t>Gestión amistosa antes de juicio.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Manual de procedimientos</w:t>
      </w:r>
    </w:p>
    <w:p>
      <w:r>
        <w:rPr>
          <w:rFonts w:ascii="Calibri" w:hAnsi="Calibri"/>
          <w:b w:val="0"/>
          <w:i w:val="0"/>
          <w:sz w:val="21"/>
        </w:rPr>
        <w:t>☐  Capacitación</w:t>
      </w:r>
    </w:p>
    <w:p>
      <w:r>
        <w:rPr>
          <w:rFonts w:ascii="Calibri" w:hAnsi="Calibri"/>
          <w:b w:val="0"/>
          <w:i w:val="0"/>
          <w:sz w:val="21"/>
        </w:rPr>
        <w:t>☐  Auditorías</w:t>
      </w:r>
    </w:p>
    <w:p>
      <w:r>
        <w:rPr>
          <w:rFonts w:ascii="Calibri" w:hAnsi="Calibri"/>
          <w:b w:val="0"/>
          <w:i w:val="0"/>
          <w:sz w:val="21"/>
        </w:rPr>
        <w:t>☐  Procedimiento de quejas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