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MANAGEMENT ARTÍSTICO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Código Civil/Comercio + LDA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ARTISTA'.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MANAGER'.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Gestión integral de carrera artística.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Manager gestiona la carrera artística: bookings, contratos, promoción, marca personal.</w:t>
      </w:r>
    </w:p>
    <w:p>
      <w:pPr>
        <w:jc w:val="left"/>
      </w:pPr>
      <w:r>
        <w:rPr>
          <w:b/>
          <w:color w:val="2E4E7C"/>
          <w:sz w:val="22"/>
        </w:rPr>
        <w:t>SEGUNDA: EXCLUSIVIDAD Y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[Mundial / por región]; durante [#] años.</w:t>
      </w:r>
    </w:p>
    <w:p>
      <w:pPr>
        <w:jc w:val="left"/>
      </w:pPr>
      <w:r>
        <w:rPr>
          <w:b/>
          <w:color w:val="2E4E7C"/>
          <w:sz w:val="22"/>
        </w:rPr>
        <w:t>TERCERA: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sobre ingresos profesionales (típicamente 15-20%).</w:t>
      </w:r>
    </w:p>
    <w:p>
      <w:pPr>
        <w:jc w:val="left"/>
      </w:pPr>
      <w:r>
        <w:rPr>
          <w:b/>
          <w:color w:val="2E4E7C"/>
          <w:sz w:val="22"/>
        </w:rPr>
        <w:t>CUARTA: FACULTADES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Negociar contratos hasta Q[#] (mayores: aprobación del artista); recibir pagos; aceptar invitaciones; promocionar.</w:t>
      </w:r>
    </w:p>
    <w:p>
      <w:pPr>
        <w:jc w:val="left"/>
      </w:pPr>
      <w:r>
        <w:rPr>
          <w:b/>
          <w:color w:val="2E4E7C"/>
          <w:sz w:val="22"/>
        </w:rPr>
        <w:t>QUINTA: OBLIGACIONES DEL MANAGER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Lealtad; mejor esfuerzo; planificación de carrera; reportes.</w:t>
      </w:r>
    </w:p>
    <w:p>
      <w:pPr>
        <w:jc w:val="left"/>
      </w:pPr>
      <w:r>
        <w:rPr>
          <w:b/>
          <w:color w:val="2E4E7C"/>
          <w:sz w:val="22"/>
        </w:rPr>
        <w:t>SEXTA: DERECHOS DE PI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Derechos del artista (composiciones, grabaciones, imagen) permanecen del artista.</w:t>
      </w:r>
    </w:p>
    <w:p>
      <w:pPr>
        <w:jc w:val="left"/>
      </w:pPr>
      <w:r>
        <w:rPr>
          <w:b/>
          <w:color w:val="2E4E7C"/>
          <w:sz w:val="22"/>
        </w:rPr>
        <w:t>SÉPTIMA: MORALITY CLAUSE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Mutual.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MANAGEMENT 360°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Incluye marketing, merchandising, dirección artística.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ARTISTA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MANAGER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Diferente de agente (manager más estratégico, agente más transaccional).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Exclusividad común.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Comisión típica 15-20%.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Importante: claridad sobre quién posee qué (PI, contratos).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Fin de relación: portabilidad de contratos firmados durante vigencia.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[MANAGEMENT 360]</w:t>
            </w:r>
          </w:p>
        </w:tc>
        <w:tc>
          <w:tcPr>
            <w:tcW w:type="dxa" w:w="4703"/>
          </w:tcPr>
          <w:p>
            <w:r>
              <w:t>Gestión integral todo-en-uno.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de carrera</w:t>
      </w:r>
    </w:p>
    <w:p>
      <w:r>
        <w:rPr>
          <w:rFonts w:ascii="Calibri" w:hAnsi="Calibri"/>
          <w:b w:val="0"/>
          <w:i w:val="0"/>
          <w:sz w:val="21"/>
        </w:rPr>
        <w:t>☐  Cuentas separadas</w:t>
      </w:r>
    </w:p>
    <w:p>
      <w:r>
        <w:rPr>
          <w:rFonts w:ascii="Calibri" w:hAnsi="Calibri"/>
          <w:b w:val="0"/>
          <w:i w:val="0"/>
          <w:sz w:val="21"/>
        </w:rPr>
        <w:t>☐  Reportes mensuales</w:t>
      </w:r>
    </w:p>
    <w:p>
      <w:r>
        <w:rPr>
          <w:rFonts w:ascii="Calibri" w:hAnsi="Calibri"/>
          <w:b w:val="0"/>
          <w:i w:val="0"/>
          <w:sz w:val="21"/>
        </w:rPr>
        <w:t>☐  Conflict check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