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CAPITULACIONES MATRIMONIALES — RÉGIMEN DE COMUNIDAD ABSOLUTA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de Guatemala (Decreto Ley 106, Arts. 116–144)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COMPLETO], de [EDAD] años, [ESTADO CIVIL], [NACIONALIDAD], [PROFESIÓN U OFICIO], con domicilio en [DIRECCIÓN], identificado con Documento Personal de Identificación (DPI) número [DPI] extendido por el Registro Nacional de las Personas (RENAP), NIT [NIT], a quien en adelante se denominará 'EL CONTRAYENTE'.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 U OFICIO], con domicilio en [DIRECCIÓN], identificado con DPI número [DPI], NIT [NIT], a quien en adelante se denominará 'LA CONTRAYENTE'.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tener la capacidad legal suficiente para celebrar el presente contrato y convienen en las siguientes cláusulas.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los comparecientes han manifestado su voluntad de contraer matrimonio el [FECHA] ante [NOTARIO / AUTORIDAD CIVIL].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desean pactar el régimen económico que regirá su matrimonio mediante estas capitulaciones.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RÉGIMEN ELEGIDO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contrayentes acuerdan que su régimen económico matrimonial será el de COMUNIDAD ABSOLUTA conforme al Art. 122 del Código Civil. Todos los bienes presentes y futuros, salvo los expresamente excluidos por ley, formarán un patrimonio común que pertenecerá a ambos cónyuges por mitades indivisas.</w:t>
      </w:r>
    </w:p>
    <w:p>
      <w:pPr>
        <w:jc w:val="left"/>
      </w:pPr>
      <w:r>
        <w:rPr>
          <w:b/>
          <w:color w:val="2E4E7C"/>
          <w:sz w:val="22"/>
        </w:rPr>
        <w:t>SEGUNDA: INVENTARIO DE BIENES PRESENTES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hace inventario detallado de los bienes que cada contrayente aporta al patrimonio común: (a) bienes aportados por EL CONTRAYENTE: [LISTA Y AVALÚO]; (b) bienes aportados por LA CONTRAYENTE: [LISTA Y AVALÚO].</w:t>
      </w:r>
    </w:p>
    <w:p>
      <w:pPr>
        <w:jc w:val="left"/>
      </w:pPr>
      <w:r>
        <w:rPr>
          <w:b/>
          <w:color w:val="2E4E7C"/>
          <w:sz w:val="22"/>
        </w:rPr>
        <w:t>TERCERA: BIENES EXCLUIDOS DE LA COMUNIDAD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Art. 124 CC, no entran en la comunidad: (a) bienes adquiridos por herencia, donación o legado a título gratuito; (b) bienes adquiridos con dinero que perteneciere exclusivamente a uno; (c) joyas y objetos de uso personal.</w:t>
      </w:r>
    </w:p>
    <w:p>
      <w:pPr>
        <w:jc w:val="left"/>
      </w:pPr>
      <w:r>
        <w:rPr>
          <w:b/>
          <w:color w:val="2E4E7C"/>
          <w:sz w:val="22"/>
        </w:rPr>
        <w:t>CUARTA: ADMINISTRACIÓN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administración del patrimonio común corresponde a ambos cónyuges conjuntamente. Para enajenar, gravar o hipotecar bienes inmuebles comunes se requerirá el consentimiento expreso de ambos (Art. 131).</w:t>
      </w:r>
    </w:p>
    <w:p>
      <w:pPr>
        <w:jc w:val="left"/>
      </w:pPr>
      <w:r>
        <w:rPr>
          <w:b/>
          <w:color w:val="2E4E7C"/>
          <w:sz w:val="22"/>
        </w:rPr>
        <w:t>QUINTA: OBLIGACIONES Y DEUDAS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deudas contraídas durante el matrimonio para beneficio del hogar son cargas del patrimonio común. Las deudas personales anteriores al matrimonio o posteriores no derivadas de la economía familiar son responsabilidad individual.</w:t>
      </w:r>
    </w:p>
    <w:p>
      <w:pPr>
        <w:jc w:val="left"/>
      </w:pPr>
      <w:r>
        <w:rPr>
          <w:b/>
          <w:color w:val="2E4E7C"/>
          <w:sz w:val="22"/>
        </w:rPr>
        <w:t>SEXTA: DISOLUCIÓN DE LA COMUNIDAD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disolverse el matrimonio (por divorcio, muerte, nulidad), los bienes comunes se dividen por mitades indivisas, salvo acuerdo distinto.</w:t>
      </w:r>
    </w:p>
    <w:p>
      <w:pPr>
        <w:jc w:val="left"/>
      </w:pPr>
      <w:r>
        <w:rPr>
          <w:b/>
          <w:color w:val="2E4E7C"/>
          <w:sz w:val="22"/>
        </w:rPr>
        <w:t>SÉPTIMA: MODIFICACIÓN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Estas capitulaciones podrán modificarse durante el matrimonio mediante instrumento público, sin perjuicio de los derechos de terceros.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DONACIONES POR RAZÓN DE MATRIMONIO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contrayentes se hacen recíprocamente las siguientes donaciones por razón de matrimonio: [DETALLE Y VALORACIÓN].</w:t>
      </w:r>
    </w:p>
    <w:p>
      <w:pPr>
        <w:jc w:val="left"/>
      </w:pPr>
      <w:r>
        <w:rPr>
          <w:b/>
          <w:color w:val="2E4E7C"/>
          <w:sz w:val="22"/>
        </w:rPr>
        <w:t>[OPCIONAL] PROHIBICIÓN DE DISPOSICIÓN UNILATERAL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Ningún cónyuge podrá disponer unilateralmente de bienes muebles de valor superior a Q[MONTO] sin consentimiento del otro.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EL CONTRAYENTE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LA CONTRAYENTE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116–144 del Código Civil.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capitulaciones deben constar en ESCRITURA PÚBLICA antes del matrimonio.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no se otorgan capitulaciones, rige supletoriamente la COMUNIDAD DE GANANCIALES (Art. 119).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Los tres regímenes son: (a) Comunidad Absoluta; (b) Separación Absoluta; (c) Comunidad de Gananciales.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capitulaciones se inscriben en el Registro Civil del RENAP y en el Registro General de la Propiedad para inmuebles.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Pueden modificarse durante el matrimonio (Art. 121).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Tienen efectos retroactivos a la fecha del matrimonio.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[COMUNIDAD ABSOLUTA]</w:t>
            </w:r>
          </w:p>
        </w:tc>
        <w:tc>
          <w:tcPr>
            <w:tcW w:type="dxa" w:w="4703"/>
          </w:tcPr>
          <w:p>
            <w:r>
              <w:t>Todos los bienes presentes y futuros son comunes.</w:t>
            </w:r>
          </w:p>
        </w:tc>
      </w:tr>
      <w:tr>
        <w:tc>
          <w:tcPr>
            <w:tcW w:type="dxa" w:w="4703"/>
          </w:tcPr>
          <w:p>
            <w:r>
              <w:t>[CAPITULACIONES]</w:t>
            </w:r>
          </w:p>
        </w:tc>
        <w:tc>
          <w:tcPr>
            <w:tcW w:type="dxa" w:w="4703"/>
          </w:tcPr>
          <w:p>
            <w:r>
              <w:t>Pacto matrimonial que define el régimen económico.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vigentes de ambos contrayentes</w:t>
      </w:r>
    </w:p>
    <w:p>
      <w:r>
        <w:rPr>
          <w:rFonts w:ascii="Calibri" w:hAnsi="Calibri"/>
          <w:b w:val="0"/>
          <w:i w:val="0"/>
          <w:sz w:val="21"/>
        </w:rPr>
        <w:t>☐  Inventario detallado de bienes presentes</w:t>
      </w:r>
    </w:p>
    <w:p>
      <w:r>
        <w:rPr>
          <w:rFonts w:ascii="Calibri" w:hAnsi="Calibri"/>
          <w:b w:val="0"/>
          <w:i w:val="0"/>
          <w:sz w:val="21"/>
        </w:rPr>
        <w:t>☐  Avalúos (especialmente inmuebles y vehículos)</w:t>
      </w:r>
    </w:p>
    <w:p>
      <w:r>
        <w:rPr>
          <w:rFonts w:ascii="Calibri" w:hAnsi="Calibri"/>
          <w:b w:val="0"/>
          <w:i w:val="0"/>
          <w:sz w:val="21"/>
        </w:rPr>
        <w:t>☐  Acta de matrimonio o fecha programada</w:t>
      </w:r>
    </w:p>
    <w:p>
      <w:r>
        <w:rPr>
          <w:rFonts w:ascii="Calibri" w:hAnsi="Calibri"/>
          <w:b w:val="0"/>
          <w:i w:val="0"/>
          <w:sz w:val="21"/>
        </w:rPr>
        <w:t>☐  Escritura pública ante notario</w:t>
      </w:r>
    </w:p>
    <w:p>
      <w:r>
        <w:rPr>
          <w:rFonts w:ascii="Calibri" w:hAnsi="Calibri"/>
          <w:b w:val="0"/>
          <w:i w:val="0"/>
          <w:sz w:val="21"/>
        </w:rPr>
        <w:t>☐  Inscripción en Registro Civil (RENAP)</w:t>
      </w:r>
    </w:p>
    <w:p>
      <w:r>
        <w:rPr>
          <w:rFonts w:ascii="Calibri" w:hAnsi="Calibri"/>
          <w:b w:val="0"/>
          <w:i w:val="0"/>
          <w:sz w:val="21"/>
        </w:rPr>
        <w:t>☐  Inscripción en RGP si hay inmuebles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