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CAPITULACIONES MATRIMONIALES — RÉGIMEN DE COMUNIDAD DE GANANCIALES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Art. 124 y régimen supletorio)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contrayentes adoptan el régimen de comunidad de gananciales.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RÉGIMEN ELEGIDO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124 CC, los contrayentes adoptan el régimen de COMUNIDAD DE GANANCIALES. Cada cónyuge conserva la propiedad de los bienes que aporte al matrimonio y de los que adquiera durante éste por título gratuito (herencia, donación, legado). Lo adquirido a título oneroso durante el matrimonio, y los frutos de los bienes propios, son comunes.</w:t>
      </w:r>
    </w:p>
    <w:p>
      <w:pPr>
        <w:jc w:val="left"/>
      </w:pPr>
      <w:r>
        <w:rPr>
          <w:b/>
          <w:color w:val="2E4E7C"/>
          <w:sz w:val="22"/>
        </w:rPr>
        <w:t>SEGUNDA: BIENES PROPIOS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 propios de cada cónyuge: (a) los que aportaba antes del matrimonio; (b) los adquiridos a título gratuito durante el matrimonio; (c) los adquiridos en sustitución de bienes propios; (d) joyas y objetos personales.</w:t>
      </w:r>
    </w:p>
    <w:p>
      <w:pPr>
        <w:jc w:val="left"/>
      </w:pPr>
      <w:r>
        <w:rPr>
          <w:b/>
          <w:color w:val="2E4E7C"/>
          <w:sz w:val="22"/>
        </w:rPr>
        <w:t>TERCERA: BIENES COMUNES (GANANCIALES)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Son gananciales: (a) los bienes adquiridos a título oneroso durante el matrimonio; (b) los frutos, rentas e intereses de los bienes propios y comunes; (c) los obtenidos por el trabajo y actividad de cualquiera de los cónyuges.</w:t>
      </w:r>
    </w:p>
    <w:p>
      <w:pPr>
        <w:jc w:val="left"/>
      </w:pPr>
      <w:r>
        <w:rPr>
          <w:b/>
          <w:color w:val="2E4E7C"/>
          <w:sz w:val="22"/>
        </w:rPr>
        <w:t>CUARTA: INVENTARIO DE BIENES PRESENTES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 propios de EL CONTRAYENTE: [LISTA]. Bienes propios de LA CONTRAYENTE: [LISTA].</w:t>
      </w:r>
    </w:p>
    <w:p>
      <w:pPr>
        <w:jc w:val="left"/>
      </w:pPr>
      <w:r>
        <w:rPr>
          <w:b/>
          <w:color w:val="2E4E7C"/>
          <w:sz w:val="22"/>
        </w:rPr>
        <w:t>QUINTA: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cónyuge administra sus bienes propios y los bienes comunes conjuntamente. Para enajenar o gravar inmuebles comunes se requiere consentimiento de ambos.</w:t>
      </w:r>
    </w:p>
    <w:p>
      <w:pPr>
        <w:jc w:val="left"/>
      </w:pPr>
      <w:r>
        <w:rPr>
          <w:b/>
          <w:color w:val="2E4E7C"/>
          <w:sz w:val="22"/>
        </w:rPr>
        <w:t>SEXTA: DEUDAS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deudas que cada cónyuge tenía antes del matrimonio son personales. Las contraídas durante el matrimonio que beneficien al hogar son comunes.</w:t>
      </w:r>
    </w:p>
    <w:p>
      <w:pPr>
        <w:jc w:val="left"/>
      </w:pPr>
      <w:r>
        <w:rPr>
          <w:b/>
          <w:color w:val="2E4E7C"/>
          <w:sz w:val="22"/>
        </w:rPr>
        <w:t>SÉPTIMA: DISOLUCIÓN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disolverse el matrimonio: (a) cada cónyuge retira sus bienes propios; (b) los gananciales se dividen por mitad entre los cónyuges, o sus herederos.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SUBROGACIÓN REAL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 bien propio se vende y con su precio se adquiere otro, el nuevo bien conservará la calidad de propio del cónyuge titular original.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CONTRAYENTE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CONTRAYENTE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124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el régimen SUPLETORIO en Guatemala: si no se otorgan capitulaciones, rige por defecto (Art. 119).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capitulaciones explícitas confirman el régimen y permiten inventario detallado.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antes del matrimonio (no obligatoria si se adopta el régimen supletorio sin capitulaciones).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RENAP y RGP (inmuebles).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[GANANCIAL]</w:t>
            </w:r>
          </w:p>
        </w:tc>
        <w:tc>
          <w:tcPr>
            <w:tcW w:type="dxa" w:w="4703"/>
          </w:tcPr>
          <w:p>
            <w:r>
              <w:t>Bien adquirido a título oneroso durante el matrimonio.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ambos</w:t>
      </w:r>
    </w:p>
    <w:p>
      <w:r>
        <w:rPr>
          <w:rFonts w:ascii="Calibri" w:hAnsi="Calibri"/>
          <w:b w:val="0"/>
          <w:i w:val="0"/>
          <w:sz w:val="21"/>
        </w:rPr>
        <w:t>☐  Inventario detallado</w:t>
      </w:r>
    </w:p>
    <w:p>
      <w:r>
        <w:rPr>
          <w:rFonts w:ascii="Calibri" w:hAnsi="Calibri"/>
          <w:b w:val="0"/>
          <w:i w:val="0"/>
          <w:sz w:val="21"/>
        </w:rPr>
        <w:t>☐  Documentos de propiedad de bienes propios</w:t>
      </w:r>
    </w:p>
    <w:p>
      <w:r>
        <w:rPr>
          <w:rFonts w:ascii="Calibri" w:hAnsi="Calibri"/>
          <w:b w:val="0"/>
          <w:i w:val="0"/>
          <w:sz w:val="21"/>
        </w:rPr>
        <w:t>☐  Escritura pública</w:t>
      </w:r>
    </w:p>
    <w:p>
      <w:r>
        <w:rPr>
          <w:rFonts w:ascii="Calibri" w:hAnsi="Calibri"/>
          <w:b w:val="0"/>
          <w:i w:val="0"/>
          <w:sz w:val="21"/>
        </w:rPr>
        <w:t>☐  Inscripción RENAP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