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CAPITULACIONES MATRIMONIALES — RÉGIMEN DE SEPARACIÓN ABSOLUTA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de Guatemala (Decreto Ley 106, Arts. 116, 123)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[NOMBRE COMPLETO], de [EDAD] años, [ESTADO CIVIL], [NACIONALIDAD], [PROFESIÓN U OFICIO], con domicilio en [DIRECCIÓN], identificado con Documento Personal de Identificación (DPI) número [DPI] extendido por el Registro Nacional de las Personas (RENAP), NIT [NIT], a quien en adelante se denominará 'EL CONTRAYENTE'.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 U OFICIO], con domicilio en [DIRECCIÓN], identificado con DPI número [DPI], NIT [NIT], a quien en adelante se denominará 'LA CONTRAYENTE'.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manifiestan tener la capacidad legal suficiente para celebrar el presente contrato y convienen en las siguientes cláusulas.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los contrayentes desean adoptar régimen de separación absoluta de bienes.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RÉGIMEN ELEGIDO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al Art. 123 del Código Civil, los contrayentes adoptan el régimen de SEPARACIÓN ABSOLUTA. Cada cónyuge conserva la propiedad, administración y libre disposición de sus bienes presentes y futuros, así como de los frutos de los mismos.</w:t>
      </w:r>
    </w:p>
    <w:p>
      <w:pPr>
        <w:jc w:val="left"/>
      </w:pPr>
      <w:r>
        <w:rPr>
          <w:b/>
          <w:color w:val="2E4E7C"/>
          <w:sz w:val="22"/>
        </w:rPr>
        <w:t>SEGUNDA: INVENTARIO DE BIENES PRESENTES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Bienes propios de EL CONTRAYENTE: [LISTA Y AVALÚO]. Bienes propios de LA CONTRAYENTE: [LISTA Y AVALÚO].</w:t>
      </w:r>
    </w:p>
    <w:p>
      <w:pPr>
        <w:jc w:val="left"/>
      </w:pPr>
      <w:r>
        <w:rPr>
          <w:b/>
          <w:color w:val="2E4E7C"/>
          <w:sz w:val="22"/>
        </w:rPr>
        <w:t>TERCERA: BIENES ADQUIRIDOS DURANTE EL MATRIMONIO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bienes que cada cónyuge adquiera durante el matrimonio, sea por compra, herencia, donación, legado, trabajo o cualquier otro título, serán de su propiedad exclusiva.</w:t>
      </w:r>
    </w:p>
    <w:p>
      <w:pPr>
        <w:jc w:val="left"/>
      </w:pPr>
      <w:r>
        <w:rPr>
          <w:b/>
          <w:color w:val="2E4E7C"/>
          <w:sz w:val="22"/>
        </w:rPr>
        <w:t>CUARTA: DEUDAS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deudas contraídas por cada cónyuge son su responsabilidad personal exclusiva, salvo las contraídas conjuntamente o las que beneficien efectivamente al hogar y los hijos.</w:t>
      </w:r>
    </w:p>
    <w:p>
      <w:pPr>
        <w:jc w:val="left"/>
      </w:pPr>
      <w:r>
        <w:rPr>
          <w:b/>
          <w:color w:val="2E4E7C"/>
          <w:sz w:val="22"/>
        </w:rPr>
        <w:t>QUINTA: CONTRIBUCIÓN A LAS CARGAS FAMILIARES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Ambos cónyuges contribuirán a los gastos del hogar y educación de los hijos en proporción a sus respectivos ingresos.</w:t>
      </w:r>
    </w:p>
    <w:p>
      <w:pPr>
        <w:jc w:val="left"/>
      </w:pPr>
      <w:r>
        <w:rPr>
          <w:b/>
          <w:color w:val="2E4E7C"/>
          <w:sz w:val="22"/>
        </w:rPr>
        <w:t>SEXTA: CO-PROPIEDAD VOLUNTARIA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cónyuges podrán adquirir bienes en copropiedad, en cuyo caso se regirán por las reglas generales del Código Civil sobre copropiedad (Arts. 485 y ss.).</w:t>
      </w:r>
    </w:p>
    <w:p>
      <w:pPr>
        <w:jc w:val="left"/>
      </w:pPr>
      <w:r>
        <w:rPr>
          <w:b/>
          <w:color w:val="2E4E7C"/>
          <w:sz w:val="22"/>
        </w:rPr>
        <w:t>SÉPTIMA: DISOLUCIÓN DEL MATRIMONIO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 disolverse el matrimonio, cada cónyuge conservará la propiedad de sus bienes propios; los bienes en copropiedad se distribuirán según las cuotas pactadas.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FONDO COMÚN DE HOGAR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cónyuges constituyen un fondo común para gastos del hogar al que ambos aportarán mensualmente Q[MONTO].</w:t>
      </w:r>
    </w:p>
    <w:p>
      <w:pPr>
        <w:jc w:val="left"/>
      </w:pPr>
      <w:r>
        <w:rPr>
          <w:b/>
          <w:color w:val="2E4E7C"/>
          <w:sz w:val="22"/>
        </w:rPr>
        <w:t>[OPCIONAL] RECONOCIMIENTO DE CONTRIBUCIÓN AL HOGAR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Reconocen recíprocamente la contribución no monetaria al hogar (cuidado de hijos, trabajo doméstico), valuándose para efectos de eventual liquidación de aportes en común.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COMPLETO]</w:t>
        <w:br/>
        <w:t>EL CONTRAYENTE</w:t>
        <w:br/>
        <w:t>DPI: [NÚMERO]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COMPLETO]</w:t>
        <w:br/>
        <w:t>LA CONTRAYENTE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Art. 123 CC.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Régimen recomendable cuando hay patrimonios significativos previos, hijos de uniones anteriores, o actividades empresariales independientes.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escritura pública ANTES del matrimonio.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Registro Civil del RENAP.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Cualquier modificación posterior requiere instrumento público.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Compatible con donaciones recíprocas voluntarias entre cónyuges.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[SEPARACIÓN ABSOLUTA]</w:t>
            </w:r>
          </w:p>
        </w:tc>
        <w:tc>
          <w:tcPr>
            <w:tcW w:type="dxa" w:w="4703"/>
          </w:tcPr>
          <w:p>
            <w:r>
              <w:t>Cada cónyuge conserva propiedad exclusiva.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de ambos</w:t>
      </w:r>
    </w:p>
    <w:p>
      <w:r>
        <w:rPr>
          <w:rFonts w:ascii="Calibri" w:hAnsi="Calibri"/>
          <w:b w:val="0"/>
          <w:i w:val="0"/>
          <w:sz w:val="21"/>
        </w:rPr>
        <w:t>☐  Inventario detallado</w:t>
      </w:r>
    </w:p>
    <w:p>
      <w:r>
        <w:rPr>
          <w:rFonts w:ascii="Calibri" w:hAnsi="Calibri"/>
          <w:b w:val="0"/>
          <w:i w:val="0"/>
          <w:sz w:val="21"/>
        </w:rPr>
        <w:t>☐  Avalúos</w:t>
      </w:r>
    </w:p>
    <w:p>
      <w:r>
        <w:rPr>
          <w:rFonts w:ascii="Calibri" w:hAnsi="Calibri"/>
          <w:b w:val="0"/>
          <w:i w:val="0"/>
          <w:sz w:val="21"/>
        </w:rPr>
        <w:t>☐  Escritura pública</w:t>
      </w:r>
    </w:p>
    <w:p>
      <w:r>
        <w:rPr>
          <w:rFonts w:ascii="Calibri" w:hAnsi="Calibri"/>
          <w:b w:val="0"/>
          <w:i w:val="0"/>
          <w:sz w:val="21"/>
        </w:rPr>
        <w:t>☐  Inscripción en RENAP</w:t>
      </w:r>
    </w:p>
    <w:p>
      <w:r>
        <w:rPr>
          <w:rFonts w:ascii="Calibri" w:hAnsi="Calibri"/>
          <w:b w:val="0"/>
          <w:i w:val="0"/>
          <w:sz w:val="21"/>
        </w:rPr>
        <w:t>☐  Inscripción en RGP para inmuebles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