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PENSIÓN ALIMENTICIA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278–291) y Ley para Prevenir y Sancionar la Violencia Intrafamiliar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COMPLETO], de [EDAD] años, [ESTADO CIVIL], [NACIONALIDAD], [PROFESIÓN U OFICIO], con domicilio en [DIRECCIÓN], identificado con Documento Personal de Identificación (DPI) número [DPI] extendido por el Registro Nacional de las Personas (RENAP), NIT [NIT], a quien en adelante se denominará 'EL ALIMENTANTE'.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 U OFICIO], con domicilio en [DIRECCIÓN], identificado con DPI número [DPI], NIT [NIT], a quien en adelante se denominará 'LA ALIMENTISTA / REPRESENTANTE DEL MENOR'.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suficiente para celebrar el presente contrato y convienen en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ALIMENTANTE tiene la obligación legal de prestar alimentos a [hijo/a, cónyuge, etc.] de nombre [NOMBRE Y EDAD].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las partes desean fijar la pensión alimenticia mediante acuerdo voluntario.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CONCEPTO DE ALIMENTOS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Art. 278 CC, los alimentos incluyen: alimentación, vestido, habitación, asistencia médica, educación, recreación y, en su caso, gastos de embarazo y parto.</w:t>
      </w:r>
    </w:p>
    <w:p>
      <w:pPr>
        <w:jc w:val="left"/>
      </w:pPr>
      <w:r>
        <w:rPr>
          <w:b/>
          <w:color w:val="2E4E7C"/>
          <w:sz w:val="22"/>
        </w:rPr>
        <w:t>SEGUNDA: MONTO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ALIMENTANTE pagará pensión mensual de Q[MONTO] a favor de [BENEFICIARIO].</w:t>
      </w:r>
    </w:p>
    <w:p>
      <w:pPr>
        <w:jc w:val="left"/>
      </w:pPr>
      <w:r>
        <w:rPr>
          <w:b/>
          <w:color w:val="2E4E7C"/>
          <w:sz w:val="22"/>
        </w:rPr>
        <w:t>TERCERA: FORMA Y FECHA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pago se realizará mediante depósito a la cuenta [DATOS BANCARIOS] del BENEFICIARIO / REPRESENTANTE, los primeros [#] días de cada mes.</w:t>
      </w:r>
    </w:p>
    <w:p>
      <w:pPr>
        <w:jc w:val="left"/>
      </w:pPr>
      <w:r>
        <w:rPr>
          <w:b/>
          <w:color w:val="2E4E7C"/>
          <w:sz w:val="22"/>
        </w:rPr>
        <w:t>CUARTA: PERIODO Y MORA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 obligación es de tracto sucesivo. El incumplimiento devengará intereses moratorios del [#]% mensual y podrá ejecutarse como pensión judicial conforme al Art. 287 CC.</w:t>
      </w:r>
    </w:p>
    <w:p>
      <w:pPr>
        <w:jc w:val="left"/>
      </w:pPr>
      <w:r>
        <w:rPr>
          <w:b/>
          <w:color w:val="2E4E7C"/>
          <w:sz w:val="22"/>
        </w:rPr>
        <w:t>QUINTA: REAJUSTE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monto se ajustará anualmente conforme al Índice de Precios al Consumidor (IPC) del INE, o por acuerdo escrito de las partes.</w:t>
      </w:r>
    </w:p>
    <w:p>
      <w:pPr>
        <w:jc w:val="left"/>
      </w:pPr>
      <w:r>
        <w:rPr>
          <w:b/>
          <w:color w:val="2E4E7C"/>
          <w:sz w:val="22"/>
        </w:rPr>
        <w:t>SEXTA: GASTOS EXTRAORDINARIOS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Gastos médicos no cubiertos por seguro, cirugías, ortodoncia, terapias especializadas, actividades extracurriculares relevantes, educación universitaria y casos similares se compartirán al 50% entre ambos padres.</w:t>
      </w:r>
    </w:p>
    <w:p>
      <w:pPr>
        <w:jc w:val="left"/>
      </w:pPr>
      <w:r>
        <w:rPr>
          <w:b/>
          <w:color w:val="2E4E7C"/>
          <w:sz w:val="22"/>
        </w:rPr>
        <w:t>SÉPTIMA: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pensión se debe hasta que el beneficiario cumpla [18 / 25 / hasta terminar estudios universitarios] años, o mientras subsista la causa que la motiva.</w:t>
      </w:r>
    </w:p>
    <w:p>
      <w:pPr>
        <w:jc w:val="left"/>
      </w:pPr>
      <w:r>
        <w:rPr>
          <w:b/>
          <w:color w:val="2E4E7C"/>
          <w:sz w:val="22"/>
        </w:rPr>
        <w:t>OCTAVA: MODIFICACIÓN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modificación deberá constar por escrito y, si involucra menor, ser homologada por juez de familia.</w:t>
      </w:r>
    </w:p>
    <w:p>
      <w:pPr>
        <w:jc w:val="left"/>
      </w:pPr>
      <w:r>
        <w:rPr>
          <w:b/>
          <w:color w:val="2E4E7C"/>
          <w:sz w:val="22"/>
        </w:rPr>
        <w:t>NOVENA: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garantizar el cumplimiento, EL ALIMENTANTE [opciones: deposita garantía / constituye hipoteca / firma pagaré por Q[MONTO] como garantía de tres mensualidades / autoriza descuento directo de planilla salarial].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PENSIÓN POR TIEMPO INDEFINIDO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pensión continuará indefinidamente mientras el beneficiario curse estudios universitarios con rendimiento académico satisfactorio.</w:t>
      </w:r>
    </w:p>
    <w:p>
      <w:pPr>
        <w:jc w:val="left"/>
      </w:pPr>
      <w:r>
        <w:rPr>
          <w:b/>
          <w:color w:val="2E4E7C"/>
          <w:sz w:val="22"/>
        </w:rPr>
        <w:t>[OPCIONAL] RETENCIÓN EN NÓMINA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ALIMENTANTE autoriza que su empleador retenga directamente Q[MONTO] mensual de su salario y lo transfiera al BENEFICIARIO.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EL ALIMENTANTE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LA ALIMENTISTA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278–291 CC; Ley para Prevenir y Sancionar la Violencia Intrafamiliar (Dto. 97-96).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Los alimentos son IRRENUNCIABLES Y NO PRESCRIPTIBLES (Art. 282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Pueden cobrarse por la vía ejecutiva (Art. 287 CC) — título ejecutivo preferentemente con firmas legalizadas.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Incumplimiento puede constituir delito de Negación de Asistencia Económica (Art. 242 Código Penal) — hasta 3 años de prisión.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Procedimiento de fijación en juzgado de familia si no hay acuerdo.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Cuantía: proporción de capacidad económica del alimentante y necesidades del alimentista (Art. 280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Puede revisarse en cualquier momento si cambian las condiciones.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descuento directo de salario, requiere orden judicial y la patronal está obligada (Art. 99 inc. e C.T.).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[ALIMENTOS]</w:t>
            </w:r>
          </w:p>
        </w:tc>
        <w:tc>
          <w:tcPr>
            <w:tcW w:type="dxa" w:w="4703"/>
          </w:tcPr>
          <w:p>
            <w:r>
              <w:t>Concepto amplio que incluye sustento, salud, educación, recreación.</w:t>
            </w:r>
          </w:p>
        </w:tc>
      </w:tr>
      <w:tr>
        <w:tc>
          <w:tcPr>
            <w:tcW w:type="dxa" w:w="4703"/>
          </w:tcPr>
          <w:p>
            <w:r>
              <w:t>[IPC]</w:t>
            </w:r>
          </w:p>
        </w:tc>
        <w:tc>
          <w:tcPr>
            <w:tcW w:type="dxa" w:w="4703"/>
          </w:tcPr>
          <w:p>
            <w:r>
              <w:t>Índice de Precios al Consumidor publicado por el INE.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de las partes</w:t>
      </w:r>
    </w:p>
    <w:p>
      <w:r>
        <w:rPr>
          <w:rFonts w:ascii="Calibri" w:hAnsi="Calibri"/>
          <w:b w:val="0"/>
          <w:i w:val="0"/>
          <w:sz w:val="21"/>
        </w:rPr>
        <w:t>☐  Acta de nacimiento del beneficiario</w:t>
      </w:r>
    </w:p>
    <w:p>
      <w:r>
        <w:rPr>
          <w:rFonts w:ascii="Calibri" w:hAnsi="Calibri"/>
          <w:b w:val="0"/>
          <w:i w:val="0"/>
          <w:sz w:val="21"/>
        </w:rPr>
        <w:t>☐  Constancia de ingresos del alimentante</w:t>
      </w:r>
    </w:p>
    <w:p>
      <w:r>
        <w:rPr>
          <w:rFonts w:ascii="Calibri" w:hAnsi="Calibri"/>
          <w:b w:val="0"/>
          <w:i w:val="0"/>
          <w:sz w:val="21"/>
        </w:rPr>
        <w:t>☐  Cuenta bancaria del beneficiario / representante</w:t>
      </w:r>
    </w:p>
    <w:p>
      <w:r>
        <w:rPr>
          <w:rFonts w:ascii="Calibri" w:hAnsi="Calibri"/>
          <w:b w:val="0"/>
          <w:i w:val="0"/>
          <w:sz w:val="21"/>
        </w:rPr>
        <w:t>☐  Documentos de gastos del beneficiario</w:t>
      </w:r>
    </w:p>
    <w:p>
      <w:r>
        <w:rPr>
          <w:rFonts w:ascii="Calibri" w:hAnsi="Calibri"/>
          <w:b w:val="0"/>
          <w:i w:val="0"/>
          <w:sz w:val="21"/>
        </w:rPr>
        <w:t>☐  Garantías ofrecidas</w:t>
      </w:r>
    </w:p>
    <w:p>
      <w:r>
        <w:rPr>
          <w:rFonts w:ascii="Calibri" w:hAnsi="Calibri"/>
          <w:b w:val="0"/>
          <w:i w:val="0"/>
          <w:sz w:val="21"/>
        </w:rPr>
        <w:t>☐  Legalización notarial de firmas</w:t>
      </w:r>
    </w:p>
    <w:p>
      <w:r>
        <w:rPr>
          <w:rFonts w:ascii="Calibri" w:hAnsi="Calibri"/>
          <w:b w:val="0"/>
          <w:i w:val="0"/>
          <w:sz w:val="21"/>
        </w:rPr>
        <w:t>☐  Homologación judicial (si involucra menor)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