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SEPARACIÓN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153, 154 inciso 1, 156, 159–162)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CÓNYUGE'.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CÓNYUGE'.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contrajeron matrimonio inscrito en el RENAP partida [#], folio [#], libro [#].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han decidido suspender la vida en común sin disolver el vínculo matrimonial, es decir, separarse sin divorciarse.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SEPARACIÓN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su separación voluntaria conforme al Art. 154 inc. 1 del CC, subsistiendo el matrimonio como vínculo legal pero suspendiendo la convivencia.</w:t>
      </w:r>
    </w:p>
    <w:p>
      <w:pPr>
        <w:jc w:val="left"/>
      </w:pPr>
      <w:r>
        <w:rPr>
          <w:b/>
          <w:color w:val="2E4E7C"/>
          <w:sz w:val="22"/>
        </w:rPr>
        <w:t>SEGUNDA: DOMICILIOS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CÓNYUGE residirá en [DIRECCIÓN]. LA CÓNYUGE residirá en [DIRECCIÓN].</w:t>
      </w:r>
    </w:p>
    <w:p>
      <w:pPr>
        <w:jc w:val="left"/>
      </w:pPr>
      <w:r>
        <w:rPr>
          <w:b/>
          <w:color w:val="2E4E7C"/>
          <w:sz w:val="22"/>
        </w:rPr>
        <w:t>TERCERA: LIQUIDACIÓN PARCIAL DE BIENES O ASIGNACIÓN DE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[Indicar si se liquida la comunidad o solo se asigna uso de bienes para la separación].</w:t>
      </w:r>
    </w:p>
    <w:p>
      <w:pPr>
        <w:jc w:val="left"/>
      </w:pPr>
      <w:r>
        <w:rPr>
          <w:b/>
          <w:color w:val="2E4E7C"/>
          <w:sz w:val="22"/>
        </w:rPr>
        <w:t>CUARTA: HIJOS — PATRIA POTESTAD, GUARDA Y RÉGIMEN DE VISITAS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las cláusulas del Convenio de Divorcio (similar contenido aplicable a separación).</w:t>
      </w:r>
    </w:p>
    <w:p>
      <w:pPr>
        <w:jc w:val="left"/>
      </w:pPr>
      <w:r>
        <w:rPr>
          <w:b/>
          <w:color w:val="2E4E7C"/>
          <w:sz w:val="22"/>
        </w:rPr>
        <w:t>QUINTA: PENSIÓN ALIMENTICIA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[Padre/Madre obligado] pagará pensión de Q[MONTO] mensual por cada hijo. Adicionalmente, [si procede] pensión compensatoria al cónyuge separado de Q[MONTO].</w:t>
      </w:r>
    </w:p>
    <w:p>
      <w:pPr>
        <w:jc w:val="left"/>
      </w:pPr>
      <w:r>
        <w:rPr>
          <w:b/>
          <w:color w:val="2E4E7C"/>
          <w:sz w:val="22"/>
        </w:rPr>
        <w:t>SEXTA: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separación: (a) suspende la convivencia; (b) cada cónyuge administra sus ingresos personales; (c) subsiste el deber de fidelidad y respeto; (d) NO disuelve el matrimonio; (e) no permite contraer nuevas nupcias.</w:t>
      </w:r>
    </w:p>
    <w:p>
      <w:pPr>
        <w:jc w:val="left"/>
      </w:pPr>
      <w:r>
        <w:rPr>
          <w:b/>
          <w:color w:val="2E4E7C"/>
          <w:sz w:val="22"/>
        </w:rPr>
        <w:t>SÉPTIMA: RECONCILIACIÓN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podrán reconciliarse en cualquier momento, restableciendo la convivencia, lo cual deberá comunicarse al juez de familia para dejar sin efecto la separación.</w:t>
      </w:r>
    </w:p>
    <w:p>
      <w:pPr>
        <w:jc w:val="left"/>
      </w:pPr>
      <w:r>
        <w:rPr>
          <w:b/>
          <w:color w:val="2E4E7C"/>
          <w:sz w:val="22"/>
        </w:rPr>
        <w:t>OCTAVA: CONVERSIÓN EN DIVORCIO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Transcurridos los plazos legales, la separación podrá convertirse en divorcio a solicitud de cualquiera de las partes (Art. 161 CC).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REVISIÓN DE LA SEPARACIÓN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podrán revisar este convenio cada [#] meses.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CÓNYUGE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CÓNYUGE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153, 154, 156, 159–162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Separación es figura distinta del divorcio: no disuelve el vínculo.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 similar al divorcio voluntario: presentación al juzgado de familia.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 inscribe en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 convertirse en divorcio posteriormente.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reconciliación restablece todos los efectos del matrimonio.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Aplican normas sobre custodia, pensión y régimen de visitas del divorcio.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[SEPARACIÓN]</w:t>
            </w:r>
          </w:p>
        </w:tc>
        <w:tc>
          <w:tcPr>
            <w:tcW w:type="dxa" w:w="4703"/>
          </w:tcPr>
          <w:p>
            <w:r>
              <w:t>Suspensión de la convivencia conservando el vínculo matrimonial.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matrimonio</w:t>
      </w:r>
    </w:p>
    <w:p>
      <w:r>
        <w:rPr>
          <w:rFonts w:ascii="Calibri" w:hAnsi="Calibri"/>
          <w:b w:val="0"/>
          <w:i w:val="0"/>
          <w:sz w:val="21"/>
        </w:rPr>
        <w:t>☐  Actas de nacimiento de hijos</w:t>
      </w:r>
    </w:p>
    <w:p>
      <w:r>
        <w:rPr>
          <w:rFonts w:ascii="Calibri" w:hAnsi="Calibri"/>
          <w:b w:val="0"/>
          <w:i w:val="0"/>
          <w:sz w:val="21"/>
        </w:rPr>
        <w:t>☐  DPI</w:t>
      </w:r>
    </w:p>
    <w:p>
      <w:r>
        <w:rPr>
          <w:rFonts w:ascii="Calibri" w:hAnsi="Calibri"/>
          <w:b w:val="0"/>
          <w:i w:val="0"/>
          <w:sz w:val="21"/>
        </w:rPr>
        <w:t>☐  Inventario de bienes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