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EMISIÓN DE CÉDULAS HIPOTECARIAS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860-872) y Código de Comercio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DEUDOR HIPOTECARIO emite cédulas que circularán al portador.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Mecanismo para titulizar hipoteca y facilitar circulación del crédito.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HIPOTECA SUBYACENTE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Hipoteca constituida sobre [INMUEBLE], inscrita al [#].</w:t>
      </w:r>
    </w:p>
    <w:p>
      <w:pPr>
        <w:jc w:val="left"/>
      </w:pPr>
      <w:r>
        <w:rPr>
          <w:b/>
          <w:color w:val="2E4E7C"/>
          <w:sz w:val="22"/>
        </w:rPr>
        <w:t>SEGUNDA: EMISIÓN DE CÉDULAS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emiten [#] cédulas hipotecarias nominativas de Q[VALOR NOMINAL] cada una, que en conjunto suman Q[TOTAL].</w:t>
      </w:r>
    </w:p>
    <w:p>
      <w:pPr>
        <w:jc w:val="left"/>
      </w:pPr>
      <w:r>
        <w:rPr>
          <w:b/>
          <w:color w:val="2E4E7C"/>
          <w:sz w:val="22"/>
        </w:rPr>
        <w:t>TERCERA: INTERESES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Cada cédula devenga interés del [#]% anual, pagadero [trimestralmente / semestralmente].</w:t>
      </w:r>
    </w:p>
    <w:p>
      <w:pPr>
        <w:jc w:val="left"/>
      </w:pPr>
      <w:r>
        <w:rPr>
          <w:b/>
          <w:color w:val="2E4E7C"/>
          <w:sz w:val="22"/>
        </w:rPr>
        <w:t>CUARTA: PLAZO Y AMORTIZACIÓN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Plazo [#] años. Amortización por sorteo / vencimientos escalonados.</w:t>
      </w:r>
    </w:p>
    <w:p>
      <w:pPr>
        <w:jc w:val="left"/>
      </w:pPr>
      <w:r>
        <w:rPr>
          <w:b/>
          <w:color w:val="2E4E7C"/>
          <w:sz w:val="22"/>
        </w:rPr>
        <w:t>QUINTA: TRANSMISIBILIDAD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cédulas son transmisibles [por endoso / al portador / nominativas con anotación en libro].</w:t>
      </w:r>
    </w:p>
    <w:p>
      <w:pPr>
        <w:jc w:val="left"/>
      </w:pPr>
      <w:r>
        <w:rPr>
          <w:b/>
          <w:color w:val="2E4E7C"/>
          <w:sz w:val="22"/>
        </w:rPr>
        <w:t>SEXTA: INSCRIPCIÓN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emisión se inscribe en RGP y se publica en el DCA.</w:t>
      </w:r>
    </w:p>
    <w:p>
      <w:pPr>
        <w:jc w:val="left"/>
      </w:pPr>
      <w:r>
        <w:rPr>
          <w:b/>
          <w:color w:val="2E4E7C"/>
          <w:sz w:val="22"/>
        </w:rPr>
        <w:t>SÉPTIMA: FONDO DE AMORTIZACIÓN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constituye fondo de amortización con aportes mensuales del DEUDOR.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OFERTA PÚBLICA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Sujeta a registro ante RMV y autorización SIB.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DEUDOR EMISOR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Cédulas hipotecarias permiten 'titulizar' un crédito hipotecario.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Útil para captación de inversionistas múltiples.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escritura pública + inscripción RGP + publicaciones.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Regulación: Código Civil + Ley de Mercado de Valores si oferta pública.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emisión pública: registro en RMV.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[CÉDULA]</w:t>
            </w:r>
          </w:p>
        </w:tc>
        <w:tc>
          <w:tcPr>
            <w:tcW w:type="dxa" w:w="4703"/>
          </w:tcPr>
          <w:p>
            <w:r>
              <w:t>Título representativo de la hipoteca, circulable.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Hipoteca subyacente válida</w:t>
      </w:r>
    </w:p>
    <w:p>
      <w:r>
        <w:rPr>
          <w:rFonts w:ascii="Calibri" w:hAnsi="Calibri"/>
          <w:b w:val="0"/>
          <w:i w:val="0"/>
          <w:sz w:val="21"/>
        </w:rPr>
        <w:t>☐  Avalúo del inmueble</w:t>
      </w:r>
    </w:p>
    <w:p>
      <w:r>
        <w:rPr>
          <w:rFonts w:ascii="Calibri" w:hAnsi="Calibri"/>
          <w:b w:val="0"/>
          <w:i w:val="0"/>
          <w:sz w:val="21"/>
        </w:rPr>
        <w:t>☐  Estructura de la emisión</w:t>
      </w:r>
    </w:p>
    <w:p>
      <w:r>
        <w:rPr>
          <w:rFonts w:ascii="Calibri" w:hAnsi="Calibri"/>
          <w:b w:val="0"/>
          <w:i w:val="0"/>
          <w:sz w:val="21"/>
        </w:rPr>
        <w:t>☐  Folletos a inversionistas (si oferta pública)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