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OPCIÓN DE COMPRA DE INMUEBLE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(Art. 1676)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OFERENTE (propietario) y OPTANTE (beneficiario) con plena capacidad legal.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Concesión de derecho exclusivo de compra por plazo determinado.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DERECHO DE OPCIÓN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OFERENTE otorga a EL OPTANTE el derecho exclusivo de adquirir el inmueble [DESCRIPCIÓN] dentro del plazo y precio establecido.</w:t>
      </w:r>
    </w:p>
    <w:p>
      <w:pPr>
        <w:jc w:val="left"/>
      </w:pPr>
      <w:r>
        <w:rPr>
          <w:b/>
          <w:color w:val="2E4E7C"/>
          <w:sz w:val="22"/>
        </w:rPr>
        <w:t>SEGUNDA: PRECIO DE LA OPCIÓN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OPTANTE paga Q[MONTO] no reembolsable, imputable al precio si se ejerce.</w:t>
      </w:r>
    </w:p>
    <w:p>
      <w:pPr>
        <w:jc w:val="left"/>
      </w:pPr>
      <w:r>
        <w:rPr>
          <w:b/>
          <w:color w:val="2E4E7C"/>
          <w:sz w:val="22"/>
        </w:rPr>
        <w:t>TERCERA: PRECIO DEL INMUEBLE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Q[MONTO] si se ejerce la opción.</w:t>
      </w:r>
    </w:p>
    <w:p>
      <w:pPr>
        <w:jc w:val="left"/>
      </w:pPr>
      <w:r>
        <w:rPr>
          <w:b/>
          <w:color w:val="2E4E7C"/>
          <w:sz w:val="22"/>
        </w:rPr>
        <w:t>CUARTA: PLAZO Y EJERCICIO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Vigencia [#] meses. Ejercicio mediante notificación notarial al OFERENTE en el domicilio consignado.</w:t>
      </w:r>
    </w:p>
    <w:p>
      <w:pPr>
        <w:jc w:val="left"/>
      </w:pPr>
      <w:r>
        <w:rPr>
          <w:b/>
          <w:color w:val="2E4E7C"/>
          <w:sz w:val="22"/>
        </w:rPr>
        <w:t>QUINTA: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la vigencia, EL OFERENTE no enajenará ni gravará el inmueble.</w:t>
      </w:r>
    </w:p>
    <w:p>
      <w:pPr>
        <w:jc w:val="left"/>
      </w:pPr>
      <w:r>
        <w:rPr>
          <w:b/>
          <w:color w:val="2E4E7C"/>
          <w:sz w:val="22"/>
        </w:rPr>
        <w:t>SEXTA: CADUCIDAD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 ejercida en plazo, la opción caduca automáticamente y el precio queda a favor del OFERENTE.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PRÓRROGA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 extensible por acuerdo escrito.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OFERENTE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OPTANTE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Art. 1676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inmuebles: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Anotación en RGP de la opción es recomendable.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Precio de la opción NO reembolsable.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[OPCIÓN]</w:t>
            </w:r>
          </w:p>
        </w:tc>
        <w:tc>
          <w:tcPr>
            <w:tcW w:type="dxa" w:w="4703"/>
          </w:tcPr>
          <w:p>
            <w:r>
              <w:t>Derecho exclusivo y temporal de adquirir.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RGP</w:t>
      </w:r>
    </w:p>
    <w:p>
      <w:r>
        <w:rPr>
          <w:rFonts w:ascii="Calibri" w:hAnsi="Calibri"/>
          <w:b w:val="0"/>
          <w:i w:val="0"/>
          <w:sz w:val="21"/>
        </w:rPr>
        <w:t>☐  DPI/NIT</w:t>
      </w:r>
    </w:p>
    <w:p>
      <w:r>
        <w:rPr>
          <w:rFonts w:ascii="Calibri" w:hAnsi="Calibri"/>
          <w:b w:val="0"/>
          <w:i w:val="0"/>
          <w:sz w:val="21"/>
        </w:rPr>
        <w:t>☐  Anotación registral</w:t>
      </w:r>
    </w:p>
    <w:p>
      <w:r>
        <w:rPr>
          <w:rFonts w:ascii="Calibri" w:hAnsi="Calibri"/>
          <w:b w:val="0"/>
          <w:i w:val="0"/>
          <w:sz w:val="21"/>
        </w:rPr>
        <w:t>☐  Notificación notarial al ejercer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