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PROMESA DE COMPRAVENTA DE INMUEBLE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1674-1684 y Código de Notariado)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Comparecen PROMITENTE VENDEDOR y PROMITENTE COMPRADOR con plena capacidad legal.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preparatorio para futura compraventa de inmueble.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promete celebrar contrato definitivo de compraventa sobre el inmueble [DESCRIPCIÓN REGISTRAL Y FÍSICA].</w:t>
      </w:r>
    </w:p>
    <w:p>
      <w:pPr>
        <w:jc w:val="left"/>
      </w:pPr>
      <w:r>
        <w:rPr>
          <w:b/>
          <w:color w:val="2E4E7C"/>
          <w:sz w:val="22"/>
        </w:rPr>
        <w:t>SEGUNDA: PRECIO CONVENIDO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total, a pagarse íntegramente al otorgamiento del contrato definitivo.</w:t>
      </w:r>
    </w:p>
    <w:p>
      <w:pPr>
        <w:jc w:val="left"/>
      </w:pPr>
      <w:r>
        <w:rPr>
          <w:b/>
          <w:color w:val="2E4E7C"/>
          <w:sz w:val="22"/>
        </w:rPr>
        <w:t>TERCERA: ARRAS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PROMITENTE COMPRADOR entrega en este acto Q[MONTO] en concepto de arras [confirmatorias / penitenciales], imputables al precio.</w:t>
      </w:r>
    </w:p>
    <w:p>
      <w:pPr>
        <w:jc w:val="left"/>
      </w:pPr>
      <w:r>
        <w:rPr>
          <w:b/>
          <w:color w:val="2E4E7C"/>
          <w:sz w:val="22"/>
        </w:rPr>
        <w:t>CUARTA: PLAZO PARA OTORGAR DEFINITIVA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otorgarán la escritura definitiva en [#] días/meses, ante notario designado conjuntamente. El plazo no podrá exceder de dos años (Art. 1681 CC).</w:t>
      </w:r>
    </w:p>
    <w:p>
      <w:pPr>
        <w:jc w:val="left"/>
      </w:pPr>
      <w:r>
        <w:rPr>
          <w:b/>
          <w:color w:val="2E4E7C"/>
          <w:sz w:val="22"/>
        </w:rPr>
        <w:t>QUINTA: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otorgamiento queda sujeto a: (a) DD legal satisfactorio; (b) certificación RGP libre de gravámenes; (c) financiamiento del comprador aprobado; (d) permisos municipales actualizados.</w:t>
      </w:r>
    </w:p>
    <w:p>
      <w:pPr>
        <w:jc w:val="left"/>
      </w:pPr>
      <w:r>
        <w:rPr>
          <w:b/>
          <w:color w:val="2E4E7C"/>
          <w:sz w:val="22"/>
        </w:rPr>
        <w:t>SEXTA: OBLIGACIONES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Mantener el inmueble en condiciones; no constituir gravámenes; entregar la documentación; estar al día con IUSI y servicios; facilitar el due diligence.</w:t>
      </w:r>
    </w:p>
    <w:p>
      <w:pPr>
        <w:jc w:val="left"/>
      </w:pPr>
      <w:r>
        <w:rPr>
          <w:b/>
          <w:color w:val="2E4E7C"/>
          <w:sz w:val="22"/>
        </w:rPr>
        <w:t>SÉPTIMA: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VENDEDOR incumple: devolución doble de arras o ejecución forzada. Si COMPRADOR incumple: pérdida de arras. Pena convencional adicional: Q[MONTO].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ESCROW DE ARRAS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arras se depositan en escrow notarial hasta la firma del definitivo.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VENDEDOR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COMPRADOR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inmuebles: la promesa debe constar en escritura pública (Art. 1576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máximo: 2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 la promesa en RGP (anotación) recomendable para oponibilidad.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Arras pueden ser confirmatorias (forman parte del precio) o penitenciales (facultan a desistir).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Ejecución forzosa procede ante incumplimiento.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[PROMESA]</w:t>
            </w:r>
          </w:p>
        </w:tc>
        <w:tc>
          <w:tcPr>
            <w:tcW w:type="dxa" w:w="4703"/>
          </w:tcPr>
          <w:p>
            <w:r>
              <w:t>Contrato preparatorio que obliga a celebrar el definitivo.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RGP</w:t>
      </w:r>
    </w:p>
    <w:p>
      <w:r>
        <w:rPr>
          <w:rFonts w:ascii="Calibri" w:hAnsi="Calibri"/>
          <w:b w:val="0"/>
          <w:i w:val="0"/>
          <w:sz w:val="21"/>
        </w:rPr>
        <w:t>☐  Avalúo</w:t>
      </w:r>
    </w:p>
    <w:p>
      <w:r>
        <w:rPr>
          <w:rFonts w:ascii="Calibri" w:hAnsi="Calibri"/>
          <w:b w:val="0"/>
          <w:i w:val="0"/>
          <w:sz w:val="21"/>
        </w:rPr>
        <w:t>☐  DPI/NIT</w:t>
      </w:r>
    </w:p>
    <w:p>
      <w:r>
        <w:rPr>
          <w:rFonts w:ascii="Calibri" w:hAnsi="Calibri"/>
          <w:b w:val="0"/>
          <w:i w:val="0"/>
          <w:sz w:val="21"/>
        </w:rPr>
        <w:t>☐  DD documental</w:t>
      </w:r>
    </w:p>
    <w:p>
      <w:r>
        <w:rPr>
          <w:rFonts w:ascii="Calibri" w:hAnsi="Calibri"/>
          <w:b w:val="0"/>
          <w:i w:val="0"/>
          <w:sz w:val="21"/>
        </w:rPr>
        <w:t>☐  Inscripción de promesa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