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REGLAMENTO DE PROPIEDAD HORIZONTAL / COPROPIEDAD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la Ley de Propiedad Horizontalmente Dividida (Decreto 1318)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PROPIETARIOS del régimen de copropiedad inmobiliaria suscriben.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Regulación de propiedad horizontal en edificio/condominio.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CONSTITUCIÓN DEL RÉGIMEN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constituye el régimen de Propiedad Horizontalmente Dividida sobre el inmueble [DESCRIPCIÓN], conforme al Decreto 1318.</w:t>
      </w:r>
    </w:p>
    <w:p>
      <w:pPr>
        <w:jc w:val="left"/>
      </w:pPr>
      <w:r>
        <w:rPr>
          <w:b/>
          <w:color w:val="2E4E7C"/>
          <w:sz w:val="22"/>
        </w:rPr>
        <w:t>SEGUNDA: UNIDADES PRIVATIVAS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Identificación de cada unidad: apartamento/local [#], área, ubicación, porcentaje sobre áreas comunes.</w:t>
      </w:r>
    </w:p>
    <w:p>
      <w:pPr>
        <w:jc w:val="left"/>
      </w:pPr>
      <w:r>
        <w:rPr>
          <w:b/>
          <w:color w:val="2E4E7C"/>
          <w:sz w:val="22"/>
        </w:rPr>
        <w:t>TERCERA: ÁREAS COMUNES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Áreas comunes: pasillos, escaleras, ascensores, áreas verdes, parqueo común, instalaciones generales, fachadas, techos. Indivisibles.</w:t>
      </w:r>
    </w:p>
    <w:p>
      <w:pPr>
        <w:jc w:val="left"/>
      </w:pPr>
      <w:r>
        <w:rPr>
          <w:b/>
          <w:color w:val="2E4E7C"/>
          <w:sz w:val="22"/>
        </w:rPr>
        <w:t>CUARTA: ÁREAS COMUNES DE USO EXCLUSIVO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[Si aplica: parqueos asignados, terrazas, jardines exclusivos].</w:t>
      </w:r>
    </w:p>
    <w:p>
      <w:pPr>
        <w:jc w:val="left"/>
      </w:pPr>
      <w:r>
        <w:rPr>
          <w:b/>
          <w:color w:val="2E4E7C"/>
          <w:sz w:val="22"/>
        </w:rPr>
        <w:t>QUINTA: CUOTAS DE MANTENIMIENTO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Proporcionales al porcentaje sobre áreas comunes. Pagaderos mensualmente. Mora causa intereses y procedimiento de cobro.</w:t>
      </w:r>
    </w:p>
    <w:p>
      <w:pPr>
        <w:jc w:val="left"/>
      </w:pPr>
      <w:r>
        <w:rPr>
          <w:b/>
          <w:color w:val="2E4E7C"/>
          <w:sz w:val="22"/>
        </w:rPr>
        <w:t>SEXTA: ASAMBLEA DE PROPIETARIOS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Órgano supremo. Reuniones ordinarias anuales; extraordinarias por convocatoria. Quórum y mayorías conforme a Reglamento.</w:t>
      </w:r>
    </w:p>
    <w:p>
      <w:pPr>
        <w:jc w:val="left"/>
      </w:pPr>
      <w:r>
        <w:rPr>
          <w:b/>
          <w:color w:val="2E4E7C"/>
          <w:sz w:val="22"/>
        </w:rPr>
        <w:t>SÉPTIMA: ADMINISTRADOR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Designado por Asamblea. Funciones: cobro de cuotas, mantenimiento, contratación, representación, rendición de cuentas.</w:t>
      </w:r>
    </w:p>
    <w:p>
      <w:pPr>
        <w:jc w:val="left"/>
      </w:pPr>
      <w:r>
        <w:rPr>
          <w:b/>
          <w:color w:val="2E4E7C"/>
          <w:sz w:val="22"/>
        </w:rPr>
        <w:t>OCTAVA: USOS Y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Reglas sobre: ruidos, mascotas, actividades comerciales, modificaciones, alquiler, etc.</w:t>
      </w:r>
    </w:p>
    <w:p>
      <w:pPr>
        <w:jc w:val="left"/>
      </w:pPr>
      <w:r>
        <w:rPr>
          <w:b/>
          <w:color w:val="2E4E7C"/>
          <w:sz w:val="22"/>
        </w:rPr>
        <w:t>NOVENA: SEGURO COLECTIVO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Contratación obligatoria de seguro contra incendio y RC para áreas comunes.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FONDO DE RESERVA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Aporte adicional para emergencias y mejoras mayores.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PROPIETARIOS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ADMINISTRADOR DESIGNADO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Decreto 1318 — Ley de Propiedad Horizontalmente Dividida.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Escritura pública e inscripción en RGP de la constitución y del reglamento.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Cada unidad tiene folio independiente en RGP.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Cuotas vencidas: crédito con privilegio especial sobre la unidad.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Asamblea: máximo órgano.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Modificaciones requieren mayorías especiales según asunto.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[ALÍCUOTA]</w:t>
            </w:r>
          </w:p>
        </w:tc>
        <w:tc>
          <w:tcPr>
            <w:tcW w:type="dxa" w:w="4703"/>
          </w:tcPr>
          <w:p>
            <w:r>
              <w:t>Porcentaje sobre áreas comunes.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Planos arquitectónicos</w:t>
      </w:r>
    </w:p>
    <w:p>
      <w:r>
        <w:rPr>
          <w:rFonts w:ascii="Calibri" w:hAnsi="Calibri"/>
          <w:b w:val="0"/>
          <w:i w:val="0"/>
          <w:sz w:val="21"/>
        </w:rPr>
        <w:t>☐  Tabla de porcentajes</w:t>
      </w:r>
    </w:p>
    <w:p>
      <w:r>
        <w:rPr>
          <w:rFonts w:ascii="Calibri" w:hAnsi="Calibri"/>
          <w:b w:val="0"/>
          <w:i w:val="0"/>
          <w:sz w:val="21"/>
        </w:rPr>
        <w:t>☐  Reglamento interno</w:t>
      </w:r>
    </w:p>
    <w:p>
      <w:r>
        <w:rPr>
          <w:rFonts w:ascii="Calibri" w:hAnsi="Calibri"/>
          <w:b w:val="0"/>
          <w:i w:val="0"/>
          <w:sz w:val="21"/>
        </w:rPr>
        <w:t>☐  Designación administrador</w:t>
      </w:r>
    </w:p>
    <w:p>
      <w:r>
        <w:rPr>
          <w:rFonts w:ascii="Calibri" w:hAnsi="Calibri"/>
          <w:b w:val="0"/>
          <w:i w:val="0"/>
          <w:sz w:val="21"/>
        </w:rPr>
        <w:t>☐  Pólizas de seguro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