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DE CONSTITUCIÓN DE SERVIDUMBRE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752-821)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DOMINIO SIRVIENTE (gravado) y DOMINIO DOMINANTE (beneficiario).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servidumbre voluntaria por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TITULAR DEL DOMINIO SIRVIENTE [finca [#]] constituye a favor del DOMINIO DOMINANTE [finca [#]] servidumbre de [paso / acueducto / luces y vistas / energía eléctrica / telecomunicaciones / otra].</w:t>
      </w:r>
    </w:p>
    <w:p>
      <w:pPr>
        <w:jc w:val="left"/>
      </w:pPr>
      <w:r>
        <w:rPr>
          <w:b/>
          <w:color w:val="2E4E7C"/>
          <w:sz w:val="22"/>
        </w:rPr>
        <w:t>SEGUNDA: DESCRIPCIÓN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[Detalle: trazado, dimensiones, ubicación dentro del predio sirviente, planos anexos].</w:t>
      </w:r>
    </w:p>
    <w:p>
      <w:pPr>
        <w:jc w:val="left"/>
      </w:pPr>
      <w:r>
        <w:rPr>
          <w:b/>
          <w:color w:val="2E4E7C"/>
          <w:sz w:val="22"/>
        </w:rPr>
        <w:t>TERCERA: CONTRAPRESTACIÓN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servidumbre, el dominante paga Q[MONTO] [único / anual]. [O: a título gratuito].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Perpetua, mientras subsistan los predios y la utilidad. Cesa por confusión, renuncia, no uso por 10 años, imposibilidad.</w:t>
      </w:r>
    </w:p>
    <w:p>
      <w:pPr>
        <w:jc w:val="left"/>
      </w:pPr>
      <w:r>
        <w:rPr>
          <w:b/>
          <w:color w:val="2E4E7C"/>
          <w:sz w:val="22"/>
        </w:rPr>
        <w:t>QUINTA: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Dominante: usar moderadamente; pagar conservación; no agravar. Sirviente: no obstaculizar; permitir acceso para mantenimiento.</w:t>
      </w:r>
    </w:p>
    <w:p>
      <w:pPr>
        <w:jc w:val="left"/>
      </w:pPr>
      <w:r>
        <w:rPr>
          <w:b/>
          <w:color w:val="2E4E7C"/>
          <w:sz w:val="22"/>
        </w:rPr>
        <w:t>SEXTA: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RGP en ambas fincas — sirviente y dominante.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SERVIDUMBRE ECOLÓGICA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conservación de áreas naturales.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SIRVIENTE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DOMINANTE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752-821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Tipos: voluntarias (contractuales) o legales (por ley).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Inherentes a los predios — pasan con la propiedad.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Servidumbres especiales: paso, acueducto, energía, telecomunicaciones, minerales.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[PREDIO SIRVIENTE]</w:t>
            </w:r>
          </w:p>
        </w:tc>
        <w:tc>
          <w:tcPr>
            <w:tcW w:type="dxa" w:w="4703"/>
          </w:tcPr>
          <w:p>
            <w:r>
              <w:t>El gravado.</w:t>
            </w:r>
          </w:p>
        </w:tc>
      </w:tr>
      <w:tr>
        <w:tc>
          <w:tcPr>
            <w:tcW w:type="dxa" w:w="4703"/>
          </w:tcPr>
          <w:p>
            <w:r>
              <w:t>[PREDIO DOMINANTE]</w:t>
            </w:r>
          </w:p>
        </w:tc>
        <w:tc>
          <w:tcPr>
            <w:tcW w:type="dxa" w:w="4703"/>
          </w:tcPr>
          <w:p>
            <w:r>
              <w:t>El beneficiado.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RGP ambos predios</w:t>
      </w:r>
    </w:p>
    <w:p>
      <w:r>
        <w:rPr>
          <w:rFonts w:ascii="Calibri" w:hAnsi="Calibri"/>
          <w:b w:val="0"/>
          <w:i w:val="0"/>
          <w:sz w:val="21"/>
        </w:rPr>
        <w:t>☐  Planos georreferenciados</w:t>
      </w:r>
    </w:p>
    <w:p>
      <w:r>
        <w:rPr>
          <w:rFonts w:ascii="Calibri" w:hAnsi="Calibri"/>
          <w:b w:val="0"/>
          <w:i w:val="0"/>
          <w:sz w:val="21"/>
        </w:rPr>
        <w:t>☐  Avalúo si onerosa</w:t>
      </w:r>
    </w:p>
    <w:p>
      <w:r>
        <w:rPr>
          <w:rFonts w:ascii="Calibri" w:hAnsi="Calibri"/>
          <w:b w:val="0"/>
          <w:i w:val="0"/>
          <w:sz w:val="21"/>
        </w:rPr>
        <w:t>☐  Inscripción en ambos folios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