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DE ALTA GERENCIA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81, 90, 124, 351 — Confidencialidad y No Competencia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número [NÚMERO], NIT [NIT], patronal IGSS [NÚMERO], representada por [NOMBRE REPRESENTANTE], DPI [CUI],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DEL TRABAJADOR], [EDAD] años, [ESTADO CIVIL], [PROFESIÓN], domicilio [DIRECCIÓN], DPI con CUI [CUI],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celebran el presente contrato conforme al Código de Trabajo (Decreto 1441) y demás leyes.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requiere los servicios de un ejecutivo de alto nivel con facultades de dirección y representación.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TRABAJADOR posee la experiencia, formación, prestigio profesional y competencias necesarias.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cargo amerita una remuneración integral con componentes variables, beneficios ejecutivos y obligaciones reforzadas de confidencialidad y deber fiduciario.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Partes identificadas en el preámbulo (Art. 29 C.T.).</w:t>
      </w:r>
    </w:p>
    <w:p>
      <w:pPr>
        <w:jc w:val="left"/>
      </w:pPr>
      <w:r>
        <w:rPr>
          <w:b/>
          <w:color w:val="2E4E7C"/>
          <w:sz w:val="22"/>
        </w:rPr>
        <w:t>SEGUNDA: NATURALEZA — PUESTO DE ALTA GERENCIA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INDIVIDUAL DE TRABAJO POR TIEMPO INDEFINIDO de ALTA GERENCIA. EL TRABAJADOR ocupa el cargo de [GERENTE GENERAL/DIRECTOR EJECUTIVO/CFO/COO/CIO], puesto de DIRECCIÓN, CONFIANZA y REPRESENTACIÓN en el sentido del artículo 351 del Código de Trabajo y la jurisprudencia administrativa, en cuanto a la consideración de su jornada (no necesariamente sujeta a horario rígido).</w:t>
      </w:r>
    </w:p>
    <w:p>
      <w:pPr>
        <w:jc w:val="left"/>
      </w:pPr>
      <w:r>
        <w:rPr>
          <w:b/>
          <w:color w:val="2E4E7C"/>
          <w:sz w:val="22"/>
        </w:rPr>
        <w:t>TERCERA: FACULTADES Y REPORTE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ejerce facultades de dirección, planificación, supervisión y representación delegada conforme a los estatutos sociales y resoluciones del órgano de gobierno corporativo. Reporta directamente al [CONSEJO DE ADMINISTRACIÓN / JUNTA DIRECTIVA / ÚNICO ADMINISTRADOR / ASAMBLEA].</w:t>
      </w:r>
    </w:p>
    <w:p>
      <w:pPr>
        <w:jc w:val="left"/>
      </w:pPr>
      <w:r>
        <w:rPr>
          <w:b/>
          <w:color w:val="2E4E7C"/>
          <w:sz w:val="22"/>
        </w:rPr>
        <w:t>CUARTA: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Contrato por TIEMPO INDEFINIDO desde [FECHA]. Período de prueba: [HASTA 60] días (Art. 81).</w:t>
      </w:r>
    </w:p>
    <w:p>
      <w:pPr>
        <w:jc w:val="left"/>
      </w:pPr>
      <w:r>
        <w:rPr>
          <w:b/>
          <w:color w:val="2E4E7C"/>
          <w:sz w:val="22"/>
        </w:rPr>
        <w:t>QUINTA: DEDICACIÓN Y JORNADA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se obliga a dedicación de [TIEMPO COMPLETO/EXCLUSIVA]. Por tratarse de puesto de dirección, no se sujeta a las limitaciones ordinarias de jornada (Art. 124 C.T.), pero tiene derecho al descanso semanal y a desconectarse en períodos de descanso. NO recibe tiempo extraordinario; su remuneración íntegra retribuye su labor (cláusula salarial omnicomprensiva del trabajo en jornada extendida propio del puesto).</w:t>
      </w:r>
    </w:p>
    <w:p>
      <w:pPr>
        <w:jc w:val="left"/>
      </w:pPr>
      <w:r>
        <w:rPr>
          <w:b/>
          <w:color w:val="2E4E7C"/>
          <w:sz w:val="22"/>
        </w:rPr>
        <w:t>SEXTA: REMUNERACIÓN INTEGRAL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percibirá: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a) SALARIO FIJO mensual: Q.[SALARIO FIJO].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b) BONIFICACIÓN INCENTIVO: Q.250.00 mensuales.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c) BONO ANUAL POR DESEMPEÑO: hasta [PORCENTAJE]% del salario anual, sujeto al cumplimiento de KPIs documentados en el plan anual de objetivos.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d) BONO POR PERMANENCIA / RETENCIÓN: Q.[MONTO] pagadero al cumplir [PERÍODO] años de servicio.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mensual mediante depósito bancario.</w:t>
      </w:r>
    </w:p>
    <w:p>
      <w:pPr>
        <w:jc w:val="left"/>
      </w:pPr>
      <w:r>
        <w:rPr>
          <w:b/>
          <w:color w:val="2E4E7C"/>
          <w:sz w:val="22"/>
        </w:rPr>
        <w:t>SÉPTIMA: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Vacaciones (15 días hábiles mínimos, ampliables a [25] por política), IGSS, indemnización conforme al Art. 82 C.T. más cualquier liquidación adicional pactada como ventaja.</w:t>
      </w:r>
    </w:p>
    <w:p>
      <w:pPr>
        <w:jc w:val="left"/>
      </w:pPr>
      <w:r>
        <w:rPr>
          <w:b/>
          <w:color w:val="2E4E7C"/>
          <w:sz w:val="22"/>
        </w:rPr>
        <w:t>OCTAVA: BENEFICIOS EJECUTIVOS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otorgará al TRABAJADOR como ventajas adicionales: a) seguro médico privado familiar; b) seguro de vida; c) plan de pensión complementaria; d) vehículo asignado o asignación de combustible; e) teléfono celular corporativo; f) membresía a club, asociación gremial o cámara cuando aplique; g) capacitación ejecutiva.</w:t>
      </w:r>
    </w:p>
    <w:p>
      <w:pPr>
        <w:jc w:val="left"/>
      </w:pPr>
      <w:r>
        <w:rPr>
          <w:b/>
          <w:color w:val="2E4E7C"/>
          <w:sz w:val="22"/>
        </w:rPr>
        <w:t>NOVENA: STOCK OPTIONS / PHANTOM SHARES (cuando aplique)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Plan de Compensación Variable de Largo Plazo aprobado por la Junta Directiva, EL TRABAJADOR participa con [NÚMERO] opciones/acciones fantasma, sujetas a período de consolidación (vesting) de [PERÍODO] y condiciones de permanencia y desempeño detalladas en anexo.</w:t>
      </w:r>
    </w:p>
    <w:p>
      <w:pPr>
        <w:jc w:val="left"/>
      </w:pPr>
      <w:r>
        <w:rPr>
          <w:b/>
          <w:color w:val="2E4E7C"/>
          <w:sz w:val="22"/>
        </w:rPr>
        <w:t>DÉCIMA: DEBERES FIDUCIARIOS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debe actuar con: a) buena fe; b) lealtad a los intereses sociales; c) diligencia de un ordenado comerciante; d) evitar conflictos de interés. Debe declarar anualmente cualquier conflicto de interés y abstenerse en decisiones que lo involucren.</w:t>
      </w:r>
    </w:p>
    <w:p>
      <w:pPr>
        <w:jc w:val="left"/>
      </w:pPr>
      <w:r>
        <w:rPr>
          <w:b/>
          <w:color w:val="2E4E7C"/>
          <w:sz w:val="22"/>
        </w:rPr>
        <w:t>DÉCIMA PRIMERA: CONFIDENCIALIDAD REFORZADA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guarda confidencialidad absoluta sobre estrategia, planes, información financiera, M&amp;A en curso, clientes, proveedores, propiedad intelectual y demás información reservada. Esta obligación subsiste durante la relación y se mantiene como deber post-contractual razonable. La violación constituye falta grave y, en su caso, causa de despido justificado (Art. 77 lit. e C.T.) y responsabilidad civil/penal (revelación de secreto profesional/comercial, Arts. 223 y 224 Código Penal).</w:t>
      </w:r>
    </w:p>
    <w:p>
      <w:pPr>
        <w:jc w:val="left"/>
      </w:pPr>
      <w:r>
        <w:rPr>
          <w:b/>
          <w:color w:val="2E4E7C"/>
          <w:sz w:val="22"/>
        </w:rPr>
        <w:t>DÉCIMA SEGUNDA: NO CAPTACIÓN DE CLIENTES Y EMPLEADOS (NON-SOLICITATION)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 plazo de [12 a 24] meses posteriores a la terminación, EL TRABAJADOR se abstendrá de: a) inducir directa o indirectamente a clientes, proveedores o socios estratégicos del PATRONO a romper sus relaciones; b) reclutar, contratar o inducir a abandonar al PATRONO a empleados clave. Esta cláusula no restringe el derecho al trabajo sino actos de competencia desleal.</w:t>
      </w:r>
    </w:p>
    <w:p>
      <w:pPr>
        <w:jc w:val="left"/>
      </w:pPr>
      <w:r>
        <w:rPr>
          <w:b/>
          <w:color w:val="2E4E7C"/>
          <w:sz w:val="22"/>
        </w:rPr>
        <w:t>DÉCIMA TERCERA: NO COMPETENCIA — ADVERTENCIA LEGAL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relación laboral, EL TRABAJADOR no podrá prestar servicios a competidores ni desarrollar actividades comerciales concurrentes (Art. 64 lit. d C.T.).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POST-EMPLEO: Las cláusulas de no competencia post-terminación tienen validez DISCUTIBLE en Guatemala frente al derecho constitucional al trabajo (Art. 101 Constitución) y libertad de industria (Art. 43), siendo el Art. 22 C.T. restrictivo de pactos que limiten derechos del trabajador. De pactarse, ÚNICAMENTE será exigible si: a) tiene duración limitada (máx. [12] meses); b) ámbito territorial específico; c) actividad específica; d) MEDIA CONTRAPRESTACIÓN ECONÓMICA al ex-trabajador (no menor a [50%] del salario por el período de restricción). EL PATRONO se obliga a pagar dicha contraprestación si invoca esta cláusula. En ausencia de contraprestación, la cláusula es inejecutable.</w:t>
      </w:r>
    </w:p>
    <w:p>
      <w:pPr>
        <w:jc w:val="left"/>
      </w:pPr>
      <w:r>
        <w:rPr>
          <w:b/>
          <w:color w:val="2E4E7C"/>
          <w:sz w:val="22"/>
        </w:rPr>
        <w:t>DÉCIMA CUARTA: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Todas las creaciones, invenciones, estrategias, modelos y desarrollos del TRABAJADOR durante la relación pertenecen exclusivamente al PATRONO (Decreto 33-98 y Decreto 57-2000).</w:t>
      </w:r>
    </w:p>
    <w:p>
      <w:pPr>
        <w:jc w:val="left"/>
      </w:pPr>
      <w:r>
        <w:rPr>
          <w:b/>
          <w:color w:val="2E4E7C"/>
          <w:sz w:val="22"/>
        </w:rPr>
        <w:t>DÉCIMA QUINTA: GOLDEN PARACHUTE / TERMINACIÓN ESPECIAL (si se pacta)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cambio de control, fusión o adquisición del PATRONO, o despido sin causa justa dentro de los [PERÍODO] meses siguientes, EL TRABAJADOR percibirá, además de las indemnizaciones legales, una compensación extralegal equivalente a [N] meses de salario integral, como ventaja económica documentada (Art. 90 C.T.).</w:t>
      </w:r>
    </w:p>
    <w:p>
      <w:pPr>
        <w:jc w:val="left"/>
      </w:pPr>
      <w:r>
        <w:rPr>
          <w:b/>
          <w:color w:val="2E4E7C"/>
          <w:sz w:val="22"/>
        </w:rPr>
        <w:t>DÉCIMA SEXTA: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Arts. 76-102 C.T. La pérdida de confianza, falta a deberes fiduciarios, conflictos de interés no revelados o actos contrarios a los intereses sociales pueden ser causa justa (Art. 77 lits. d, e y h).</w:t>
      </w:r>
    </w:p>
    <w:p>
      <w:pPr>
        <w:jc w:val="left"/>
      </w:pPr>
      <w:r>
        <w:rPr>
          <w:b/>
          <w:color w:val="2E4E7C"/>
          <w:sz w:val="22"/>
        </w:rPr>
        <w:t>DÉCIMA SÉPTIMA: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Social. Las partes pueden someter conflictos no laborales (responsabilidad civil por daños) a arbitraje conforme a la Ley de Arbitraje.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íntegramente, las partes lo aceptan y firman en tres ejemplares en la ciudad de [CIUDAD], el [DÍA] de [MES] de [AÑO]. Un ejemplar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PATRONO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TRABAJADOR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Política, Convenios OIT, Decretos 42-92, 76-78, 78-89 y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 vigente; aguinaldo, Bono 14, vacaciones (15 días hábiles), IGSS y bonificación incentivo Q.250.00.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Art. 82 C.T.; ventajas económicas Art. 90 C.T.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Jornadas máximas (Arts. 116-122) y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Registro: presentar contrato a Dirección General de Trabajo en 15 días (Art. 28).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Trabajadores de dirección y confianza (Art. 124 y 351 C.T.): jornada no rígida; pueden no aplicar limitaciones ordinarias de jornada, pero conservan descansos.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competencia post-empleo: tradicionalmente restrictiva en Guatemala. Para tener viabilidad debe ser limitada en tiempo, territorio y actividad, y compensada económicamente. Sin contraprestación, es inejecutable y violatoria del derecho constitucional al trabajo.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Deber de fidelidad (Art. 63 C.T.) y prohibición de concurrencia durante la relación (Art. 64 lit. d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Confidencialidad de secretos comerciales: protegida por Decreto 57-2000 (Ley de Propiedad Industrial) y Arts. 223-224 del Código Penal.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Bonos por desempeño y opciones sobre acciones: deben documentarse claramente para distinguir lo extralegal de lo computable como salario en cálculo de prestaciones (Art. 90 C.T.).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SOCIAL]</w:t>
            </w:r>
          </w:p>
        </w:tc>
        <w:tc>
          <w:tcPr>
            <w:tcW w:type="dxa" w:w="4703"/>
          </w:tcPr>
          <w:p>
            <w:r>
              <w:t>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Tributaria.</w:t>
            </w:r>
          </w:p>
        </w:tc>
      </w:tr>
      <w:tr>
        <w:tc>
          <w:tcPr>
            <w:tcW w:type="dxa" w:w="4703"/>
          </w:tcPr>
          <w:p>
            <w:r>
              <w:t>[CUI]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Salario mensual en quetzales.</w:t>
            </w:r>
          </w:p>
        </w:tc>
      </w:tr>
      <w:tr>
        <w:tc>
          <w:tcPr>
            <w:tcW w:type="dxa" w:w="4703"/>
          </w:tcPr>
          <w:p>
            <w:r>
              <w:t>[CARGO]</w:t>
            </w:r>
          </w:p>
        </w:tc>
        <w:tc>
          <w:tcPr>
            <w:tcW w:type="dxa" w:w="4703"/>
          </w:tcPr>
          <w:p>
            <w:r>
              <w:t>Posición ejecutiva.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Reglamento Interior de Trabajo entregado.</w:t>
      </w:r>
    </w:p>
    <w:p>
      <w:r>
        <w:rPr>
          <w:rFonts w:ascii="Calibri" w:hAnsi="Calibri"/>
          <w:b w:val="0"/>
          <w:i w:val="0"/>
          <w:sz w:val="21"/>
        </w:rPr>
        <w:t>☐  Acuerdo de plan de objetivos y KPIs.</w:t>
      </w:r>
    </w:p>
    <w:p>
      <w:r>
        <w:rPr>
          <w:rFonts w:ascii="Calibri" w:hAnsi="Calibri"/>
          <w:b w:val="0"/>
          <w:i w:val="0"/>
          <w:sz w:val="21"/>
        </w:rPr>
        <w:t>☐  Pólizas de seguro médico y de vida.</w:t>
      </w:r>
    </w:p>
    <w:p>
      <w:r>
        <w:rPr>
          <w:rFonts w:ascii="Calibri" w:hAnsi="Calibri"/>
          <w:b w:val="0"/>
          <w:i w:val="0"/>
          <w:sz w:val="21"/>
        </w:rPr>
        <w:t>☐  Plan de compensación variable / opciones documentado.</w:t>
      </w:r>
    </w:p>
    <w:p>
      <w:r>
        <w:rPr>
          <w:rFonts w:ascii="Calibri" w:hAnsi="Calibri"/>
          <w:b w:val="0"/>
          <w:i w:val="0"/>
          <w:sz w:val="21"/>
        </w:rPr>
        <w:t>☐  Declaración inicial de conflictos de interés.</w:t>
      </w:r>
    </w:p>
    <w:p>
      <w:r>
        <w:rPr>
          <w:rFonts w:ascii="Calibri" w:hAnsi="Calibri"/>
          <w:b w:val="0"/>
          <w:i w:val="0"/>
          <w:sz w:val="21"/>
        </w:rPr>
        <w:t>☐  Política de gobierno corporativo.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