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BAJO MODALIDAD DE TELETRABAJO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— Ley del Teletrabajo (Decreto 18-2024)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con número [NÚMERO], NIT [NIT], con número patronal del IGSS [NÚMERO PATRONAL], representada legalmente por [NOMBRE REPRESENTANTE LEGAL], guatemalteco, [EDAD] años, [ESTADO CIVIL], con DPI [CUI DPI], cuya representación acredita con [DOCUMENTO],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COMPLETO DEL TRABAJADOR], de [EDAD] años, [ESTADO CIVIL], [PROFESIÓN U OFICIO], guatemalteco, con domicilio en [DIRECCIÓN], DPI con CUI [CUI DPI],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ser de los datos consignados, hallarse en el libre ejercicio de sus derechos y celebran el presente contrato conforme al Código de Trabajo (Decreto 1441) y demás leyes aplicables.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y EL TRABAJADOR convienen voluntariamente prestar los servicios bajo modalidad de teletrabajo.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Decreto 18-2024 regula el teletrabajo en relación de subordinación laboral del sector privado.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teletrabajo se rige por los principios de voluntariedad, reversibilidad, igualdad de trato, derecho a la desconexión y respeto a la privacidad.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Partes identificadas en el preámbulo (Art. 29 C.T.).</w:t>
      </w:r>
    </w:p>
    <w:p>
      <w:pPr>
        <w:jc w:val="left"/>
      </w:pPr>
      <w:r>
        <w:rPr>
          <w:b/>
          <w:color w:val="2E4E7C"/>
          <w:sz w:val="22"/>
        </w:rPr>
        <w:t>SEGUNDA: NATURALEZA — TELETRABAJO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INDIVIDUAL DE TRABAJO BAJO MODALIDAD DE TELETRABAJO, conforme a la Ley para Regular el Teletrabajo en relación de Subordinación Laboral del Sector Privado (Decreto 18-2024 del Congreso de la República), publicada en el Diario de Centro América y vigente desde su entrada en vigencia.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entiende por TELETRABAJO la prestación de servicios de carácter laboral realizada en un lugar distinto al establecimiento o centro de trabajo del patrono, utilizando tecnologías de la información y comunicación (TIC).</w:t>
      </w:r>
    </w:p>
    <w:p>
      <w:pPr>
        <w:jc w:val="left"/>
      </w:pPr>
      <w:r>
        <w:rPr>
          <w:b/>
          <w:color w:val="2E4E7C"/>
          <w:sz w:val="22"/>
        </w:rPr>
        <w:t>TERCERA: VOLUNTARIEDAD Y REVERSIBILIDAD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TELETRABAJO se pacta de mutuo acuerdo, libre y voluntariamente entre las partes (Art. 4 Decreto 18-2024). Cualquiera de las partes podrá solicitar el retorno al trabajo presencial cuando concurran circunstancias razonables, mediante aviso por escrito con [30] días de anticipación, salvo que se haya pactado plazo distinto.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negativa del TRABAJADOR a aceptar el teletrabajo, cuando éste sea ofrecido posteriormente al inicio de la relación laboral, no será causa de despido ni de modificación adversa de sus condiciones.</w:t>
      </w:r>
    </w:p>
    <w:p>
      <w:pPr>
        <w:jc w:val="left"/>
      </w:pPr>
      <w:r>
        <w:rPr>
          <w:b/>
          <w:color w:val="2E4E7C"/>
          <w:sz w:val="22"/>
        </w:rPr>
        <w:t>CUARTA: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modalidad será: [TOTAL — toda la jornada / PARCIAL — combinación con presencial / OCASIONAL]. Días de teletrabajo: [INDICAR]. Días presenciales (si aplica): [INDICAR].</w:t>
      </w:r>
    </w:p>
    <w:p>
      <w:pPr>
        <w:jc w:val="left"/>
      </w:pPr>
      <w:r>
        <w:rPr>
          <w:b/>
          <w:color w:val="2E4E7C"/>
          <w:sz w:val="22"/>
        </w:rPr>
        <w:t>QUINTA: LUGAR DEL TELETRABAJO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prestará servicios desde [DIRECCIÓN PRINCIPAL DE TELETRABAJO]. Cualquier cambio debe notificarse al PATRONO. EL TRABAJADOR garantiza que el lugar cuenta con condiciones mínimas de ergonomía, seguridad y conectividad.</w:t>
      </w:r>
    </w:p>
    <w:p>
      <w:pPr>
        <w:jc w:val="left"/>
      </w:pPr>
      <w:r>
        <w:rPr>
          <w:b/>
          <w:color w:val="2E4E7C"/>
          <w:sz w:val="22"/>
        </w:rPr>
        <w:t>SEXTA: JORNADA Y DERECHO A LA DESCONEXIÓN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jornada será [DIURNA/MIXTA] de [44/42] horas semanales, equivalente a la jornada presencial (Arts. 116-117 C.T.). EL TRABAJADOR registrará su jornada mediante [SISTEMA DE REGISTRO].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 A LA DESCONEXIÓN DIGITAL (Art. 8 Decreto 18-2024): EL TRABAJADOR tiene derecho a NO atender comunicaciones, llamadas, mensajes ni instrucciones laborales fuera de su jornada ordinaria, en sus días de descanso, asuetos, vacaciones y licencias. EL PATRONO respetará este derecho y no impondrá sanción alguna por su ejercicio.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Ventana de desconexión: de [HORA] a [HORA] de cada día, fines de semana, asuetos y períodos de descanso.</w:t>
      </w:r>
    </w:p>
    <w:p>
      <w:pPr>
        <w:jc w:val="left"/>
      </w:pPr>
      <w:r>
        <w:rPr>
          <w:b/>
          <w:color w:val="2E4E7C"/>
          <w:sz w:val="22"/>
        </w:rPr>
        <w:t>SÉPTIMA: EQUIPOS, INSUMOS Y CONECTIVIDAD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proporcionará a su costo: a) equipo de cómputo apropiado; b) software con licencias legítimas; c) acceso a sistemas internos; d) compensación o reembolso por consumos de electricidad y servicio de internet asociados al teletrabajo, conforme al Art. 6 del Decreto 18-2024 y la política interna.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Monto aproximado de compensación mensual: Q.[MONTO] (revisable). El equipo es propiedad del PATRONO; debe ser usado exclusivamente para fines laborales y devuelto al término de la relación o del esquema.</w:t>
      </w:r>
    </w:p>
    <w:p>
      <w:pPr>
        <w:jc w:val="left"/>
      </w:pPr>
      <w:r>
        <w:rPr>
          <w:b/>
          <w:color w:val="2E4E7C"/>
          <w:sz w:val="22"/>
        </w:rPr>
        <w:t>OCTAVA: SEGURIDAD Y SALUD EN EL TELETRABAJO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orientará al TRABAJADOR sobre ergonomía, postura, pausas activas y prevención de riesgos del teletrabajo. EL TRABAJADOR autoriza visitas o verificaciones razonables previa cita para garantizar las condiciones del puesto. Aplica el régimen del IGSS para riesgos del trabajo conforme al Decreto 295.</w:t>
      </w:r>
    </w:p>
    <w:p>
      <w:pPr>
        <w:jc w:val="left"/>
      </w:pPr>
      <w:r>
        <w:rPr>
          <w:b/>
          <w:color w:val="2E4E7C"/>
          <w:sz w:val="22"/>
        </w:rPr>
        <w:t>NOVENA: SALARIO Y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ordinario mensual Q.[SALARIO] más bonificación incentivo Q.250.00. Aplican íntegramente todas las prestaciones del régimen laboral: aguinaldo, Bono 14, vacaciones, IGSS, indemnización. El teletrabajo NO MODIFICA NI DISMINUYE los derechos laborales.</w:t>
      </w:r>
    </w:p>
    <w:p>
      <w:pPr>
        <w:jc w:val="left"/>
      </w:pPr>
      <w:r>
        <w:rPr>
          <w:b/>
          <w:color w:val="2E4E7C"/>
          <w:sz w:val="22"/>
        </w:rPr>
        <w:t>DÉCIMA: CIBERSEGURIDAD Y PROTECCIÓN DE DATOS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seguirá las políticas de ciberseguridad y manejo de información del PATRONO. Está prohibido instalar software no autorizado, compartir credenciales o usar redes no seguras para información confidencial. Aplica la Ley de Protección de Datos cuando proceda.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guardará confidencialidad sobre la información a la que tenga acceso por razón del teletrabajo.</w:t>
      </w:r>
    </w:p>
    <w:p>
      <w:pPr>
        <w:jc w:val="left"/>
      </w:pPr>
      <w:r>
        <w:rPr>
          <w:b/>
          <w:color w:val="2E4E7C"/>
          <w:sz w:val="22"/>
        </w:rPr>
        <w:t>DÉCIMA SEGUNDA: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obras y desarrollos creados por EL TRABAJADOR en cumplimiento de sus funciones pertenecen al PATRONO.</w:t>
      </w:r>
    </w:p>
    <w:p>
      <w:pPr>
        <w:jc w:val="left"/>
      </w:pPr>
      <w:r>
        <w:rPr>
          <w:b/>
          <w:color w:val="2E4E7C"/>
          <w:sz w:val="22"/>
        </w:rPr>
        <w:t>DÉCIMA TERCERA: EVALUACIÓN DEL DESEMPEÑO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evaluará el desempeño por resultados y objetivos, no por presencia. No se utilizarán sistemas invasivos de vigilancia constante.</w:t>
      </w:r>
    </w:p>
    <w:p>
      <w:pPr>
        <w:jc w:val="left"/>
      </w:pPr>
      <w:r>
        <w:rPr>
          <w:b/>
          <w:color w:val="2E4E7C"/>
          <w:sz w:val="22"/>
        </w:rPr>
        <w:t>DÉCIMA CUARTA: NO DISCRIMINACIÓN E IGUALDAD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teletrabajadores tienen los mismos derechos, oportunidades de promoción y desarrollo que los trabajadores presenciales (Art. 5 Decreto 18-2024).</w:t>
      </w:r>
    </w:p>
    <w:p>
      <w:pPr>
        <w:jc w:val="left"/>
      </w:pPr>
      <w:r>
        <w:rPr>
          <w:b/>
          <w:color w:val="2E4E7C"/>
          <w:sz w:val="22"/>
        </w:rPr>
        <w:t>DÉCIMA QUINTA: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Arts. 76-102 C.T. La terminación del esquema de teletrabajo (no del contrato laboral) no implica despido si se aplica la cláusula de reversibilidad razonable.</w:t>
      </w:r>
    </w:p>
    <w:p>
      <w:pPr>
        <w:jc w:val="left"/>
      </w:pPr>
      <w:r>
        <w:rPr>
          <w:b/>
          <w:color w:val="2E4E7C"/>
          <w:sz w:val="22"/>
        </w:rPr>
        <w:t>DÉCIMA SEXTA: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Social. Aplican también las disposiciones del Decreto 18-2024 y reglamento que se emita.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REPRESENTANTE LEGAL]</w:t>
        <w:br/>
        <w:t>EL PATRONO</w:t>
        <w:br/>
        <w:t>DPI: [CUI]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TRABAJADOR]</w:t>
        <w:br/>
        <w:t>EL TRABAJADOR</w:t>
        <w:br/>
        <w:t>DPI: [CUI]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Decreto 18-2024 — Ley para Regular el Teletrabajo en relación de Subordinación Laboral del Sector Privado: voluntariedad, reversibilidad, equipos a cargo del patrono, conectividad, derecho a la desconexión, igualdad de derechos, no discriminación.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a la desconexión digital: no atender comunicaciones fuera de jornada, sin sanción.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Reversibilidad: cualquiera de las partes puede solicitar retorno al trabajo presencial con preaviso razonable.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Equipos y conectividad: a cargo del patrono o con reembolso. El equipo no se considera salario en especie cuando es herramienta de trabajo.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Seguridad y salud: el patrono debe orientar y verificar (con autorización del trabajador) el lugar de teletrabajo.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  <w:tr>
        <w:tc>
          <w:tcPr>
            <w:tcW w:type="dxa" w:w="4703"/>
          </w:tcPr>
          <w:p>
            <w:r>
              <w:t>[VENTANA DESCONEXIÓN]</w:t>
            </w:r>
          </w:p>
        </w:tc>
        <w:tc>
          <w:tcPr>
            <w:tcW w:type="dxa" w:w="4703"/>
          </w:tcPr>
          <w:p>
            <w:r>
              <w:t>Horario en que el trabajador no recibe comunicaciones laborales.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Política interna de teletrabajo aprobada.</w:t>
      </w:r>
    </w:p>
    <w:p>
      <w:r>
        <w:rPr>
          <w:rFonts w:ascii="Calibri" w:hAnsi="Calibri"/>
          <w:b w:val="0"/>
          <w:i w:val="0"/>
          <w:sz w:val="21"/>
        </w:rPr>
        <w:t>☐  Acta de entrega del equipo de cómputo y accesorios.</w:t>
      </w:r>
    </w:p>
    <w:p>
      <w:r>
        <w:rPr>
          <w:rFonts w:ascii="Calibri" w:hAnsi="Calibri"/>
          <w:b w:val="0"/>
          <w:i w:val="0"/>
          <w:sz w:val="21"/>
        </w:rPr>
        <w:t>☐  Política de ciberseguridad y manejo de información firmada.</w:t>
      </w:r>
    </w:p>
    <w:p>
      <w:r>
        <w:rPr>
          <w:rFonts w:ascii="Calibri" w:hAnsi="Calibri"/>
          <w:b w:val="0"/>
          <w:i w:val="0"/>
          <w:sz w:val="21"/>
        </w:rPr>
        <w:t>☐  Inducción sobre ergonomía y prevención de riesgos del teletrabajo.</w:t>
      </w:r>
    </w:p>
    <w:p>
      <w:r>
        <w:rPr>
          <w:rFonts w:ascii="Calibri" w:hAnsi="Calibri"/>
          <w:b w:val="0"/>
          <w:i w:val="0"/>
          <w:sz w:val="21"/>
        </w:rPr>
        <w:t>☐  Política de desconexión digital documentada.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