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PACTO COLECTIVO DE CONDICIONES DE TRABAJO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Trabajo de Guatemala (Decreto 1441, Arts. 49–53 y 215–238)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PATRONO'.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SINDICATO / COMITÉ AD HOC'.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PATRONO opera la empresa descrita y emplea a trabajadores cuyos intereses comunes representa EL SINDICATO o COMITÉ AD HOC.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las partes han negociado de buena fe condiciones generales de trabajo aplicables a los trabajadores cubiertos por este pacto.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se ha cumplido con el procedimiento previo (vía directa o conciliación según corresponda) ante la Inspección General de Trabajo o el Tribunal de Conciliación.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ÁMBITO DE APLICACIÓN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pacto colectivo aplica a todos los trabajadores [permanentes / por categorías] de [EMPRESA / CENTRO DE TRABAJO]. Tiene fuerza de ley profesional entre las partes conforme al Art. 49 del Código de Trabajo.</w:t>
      </w:r>
    </w:p>
    <w:p>
      <w:pPr>
        <w:jc w:val="left"/>
      </w:pPr>
      <w:r>
        <w:rPr>
          <w:b/>
          <w:color w:val="2E4E7C"/>
          <w:sz w:val="22"/>
        </w:rPr>
        <w:t>SEGUNDA: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pacto tendrá vigencia de [#] año(s), prorrogable automáticamente por períodos iguales si no se denuncia con noventa días de anticipación al vencimiento, conforme al Art. 53.</w:t>
      </w:r>
    </w:p>
    <w:p>
      <w:pPr>
        <w:jc w:val="left"/>
      </w:pPr>
      <w:r>
        <w:rPr>
          <w:b/>
          <w:color w:val="2E4E7C"/>
          <w:sz w:val="22"/>
        </w:rPr>
        <w:t>TERCERA: SALARIOS Y ESCALAS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establece la siguiente escala salarial por categoría: [DETALLE]. Los aumentos se realizarán [anualmente / por desempeño / por antigüedad] conforme al anexo salarial.</w:t>
      </w:r>
    </w:p>
    <w:p>
      <w:pPr>
        <w:jc w:val="left"/>
      </w:pPr>
      <w:r>
        <w:rPr>
          <w:b/>
          <w:color w:val="2E4E7C"/>
          <w:sz w:val="22"/>
        </w:rPr>
        <w:t>CUARTA: JORNADA Y HORARIOS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jornada ordinaria diurna será de [#] horas con descanso de [#] minutos; jornada mixta y nocturna conforme al Código de Trabajo. Horas extras se pagarán al 150% (diurnas) y 200% (nocturnas/festivos), conforme a ley.</w:t>
      </w:r>
    </w:p>
    <w:p>
      <w:pPr>
        <w:jc w:val="left"/>
      </w:pPr>
      <w:r>
        <w:rPr>
          <w:b/>
          <w:color w:val="2E4E7C"/>
          <w:sz w:val="22"/>
        </w:rPr>
        <w:t>QUINTA: DESCANSOS, VACACIONES Y ASUETOS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Séptimo día remunerado; quince días hábiles de vacaciones por año conforme al Art. 130 C.T.; asuetos remunerados los días festivos oficiales y los siguientes adicionales: [LISTA].</w:t>
      </w:r>
    </w:p>
    <w:p>
      <w:pPr>
        <w:jc w:val="left"/>
      </w:pPr>
      <w:r>
        <w:rPr>
          <w:b/>
          <w:color w:val="2E4E7C"/>
          <w:sz w:val="22"/>
        </w:rPr>
        <w:t>SEXTA: PRESTACIONES ADICIONALES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Aguinaldo, bono 14, indemnización por tiempo servido (Art. 82) — prestaciones de ley. Adicionalmente: (a) bono de productividad de hasta [#]% del salario; (b) seguro médico complementario; (c) ayuda escolar de Q[MONTO] por hijo; (d) canasta básica mensual; (e) ayuda funeraria; (f) celebración de aniversario.</w:t>
      </w:r>
    </w:p>
    <w:p>
      <w:pPr>
        <w:jc w:val="left"/>
      </w:pPr>
      <w:r>
        <w:rPr>
          <w:b/>
          <w:color w:val="2E4E7C"/>
          <w:sz w:val="22"/>
        </w:rPr>
        <w:t>SÉPTIMA: PERMISOS Y LICENCIAS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Permisos remunerados por: matrimonio (5 días), nacimiento de hijo (2 días), fallecimiento de familiar directo (3 días), enfermedad (con certificado IGSS), ejercicio de cargo sindical (conforme al Art. 61 inc. ñ).</w:t>
      </w:r>
    </w:p>
    <w:p>
      <w:pPr>
        <w:jc w:val="left"/>
      </w:pPr>
      <w:r>
        <w:rPr>
          <w:b/>
          <w:color w:val="2E4E7C"/>
          <w:sz w:val="22"/>
        </w:rPr>
        <w:t>OCTAVA: ESTABILIDAD LABORAL Y DESPIDOS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despedir con justa causa, se seguirá procedimiento que incluya: notificación escrita de cargos, derecho de audiencia, decisión razonada. Los miembros del Comité Ejecutivo del Sindicato gozan de fuero sindical conforme al Art. 209 C.T.</w:t>
      </w:r>
    </w:p>
    <w:p>
      <w:pPr>
        <w:jc w:val="left"/>
      </w:pPr>
      <w:r>
        <w:rPr>
          <w:b/>
          <w:color w:val="2E4E7C"/>
          <w:sz w:val="22"/>
        </w:rPr>
        <w:t>NOVENA: CAPACITACIÓN Y FORMACIÓN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destinará anualmente al menos el [#]% de la planilla a capacitación técnica y desarrollo del personal.</w:t>
      </w:r>
    </w:p>
    <w:p>
      <w:pPr>
        <w:jc w:val="left"/>
      </w:pPr>
      <w:r>
        <w:rPr>
          <w:b/>
          <w:color w:val="2E4E7C"/>
          <w:sz w:val="22"/>
        </w:rPr>
        <w:t>DÉCIMA: SEGURIDAD Y SALUD OCUPACIONAL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constituirá Comité Bipartito de Salud y Seguridad. EL PATRONO proveerá equipo de protección personal, exámenes médicos periódicos y cumplirá el Reglamento de Salud y Seguridad Ocupacional (Acuerdo Gubernativo 229-2014).</w:t>
      </w:r>
    </w:p>
    <w:p>
      <w:pPr>
        <w:jc w:val="left"/>
      </w:pPr>
      <w:r>
        <w:rPr>
          <w:b/>
          <w:color w:val="2E4E7C"/>
          <w:sz w:val="22"/>
        </w:rPr>
        <w:t>DÉCIMA PRIMERA: RESOLUCIÓN DE CONFLICTOS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establece Comisión Mixta Bipartita para conocer reclamaciones individuales y colectivas. Agotada esta vía, las partes acudirán a conciliación ante la Inspección General de Trabajo y, en su caso, a los tribunales de Trabajo y Previsión Social.</w:t>
      </w:r>
    </w:p>
    <w:p>
      <w:pPr>
        <w:jc w:val="left"/>
      </w:pPr>
      <w:r>
        <w:rPr>
          <w:b/>
          <w:color w:val="2E4E7C"/>
          <w:sz w:val="22"/>
        </w:rPr>
        <w:t>DÉCIMA SEGUNDA: REVISIÓN Y MODIFICACIÓN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modificación al pacto se hará por escrito y previa negociación de buena fe; se inscribirá en la Dirección General de Trabajo conforme al Art. 52 C.T.</w:t>
      </w:r>
    </w:p>
    <w:p>
      <w:pPr>
        <w:jc w:val="left"/>
      </w:pPr>
      <w:r>
        <w:rPr>
          <w:b/>
          <w:color w:val="2E4E7C"/>
          <w:sz w:val="22"/>
        </w:rPr>
        <w:t>DÉCIMA TERCERA: CLÁUSULA DE NO REDUCCIÓN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disposición de este pacto podrá interpretarse en sentido que reduzca los derechos mínimos establecidos por la ley o por costumbres empresariales más favorables ya consolidadas en la empresa.</w:t>
      </w:r>
    </w:p>
    <w:p>
      <w:pPr>
        <w:jc w:val="left"/>
      </w:pPr>
      <w:r>
        <w:rPr>
          <w:b/>
          <w:color w:val="2E4E7C"/>
          <w:sz w:val="22"/>
        </w:rPr>
        <w:t>DÉCIMA CUARTA: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QUINTA: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SEXTA: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SÉPTIMA: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OCTAVA: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NOVENA: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VIGÉSIMA: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CLÁUSULA DE PAZ LABORAL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Durante la vigencia del pacto, EL SINDICATO no promoverá huelga ni medidas de presión sobre las materias resueltas en este pacto, salvo incumplimiento por parte de EL PATRONO.</w:t>
      </w:r>
    </w:p>
    <w:p>
      <w:pPr>
        <w:jc w:val="left"/>
      </w:pPr>
      <w:r>
        <w:rPr>
          <w:b/>
          <w:color w:val="2E4E7C"/>
          <w:sz w:val="22"/>
        </w:rPr>
        <w:t>[OPCIONAL] PARTICIPACIÓN EN UTILIDADES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distribuirá entre los trabajadores el [#]% de las utilidades netas anuales, una vez aprobados los estados financieros auditados.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PATRONO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SINDICATO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Trabajo Arts. 49 a 53 y 215 a 238.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obligatoria en la Dirección General de Trabajo (Art. 52 C.T.). Sin inscripción no surte efectos.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Mayoría requerida en el sindicato: dos terceras partes de los afiliados (Arts. 215 y ss.).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 empresa no tiene sindicato, puede negociarse con Comité Ad Hoc.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Vigencia mínima recomendada de un año; típicamente 2-3 años con revisiones anuales.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pacto debe respetar derechos mínimos del Código de Trabajo (irrenunciables — Art. 12).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Los miembros del Comité Ejecutivo del Sindicato gozan de fuero sindical (Art. 209): no pueden ser despedidos sin autorización judicial.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Procedimiento de huelga (Arts. 239 y ss.) si las negociaciones fracasan.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[CENTRO DE TRABAJO]</w:t>
            </w:r>
          </w:p>
        </w:tc>
        <w:tc>
          <w:tcPr>
            <w:tcW w:type="dxa" w:w="4703"/>
          </w:tcPr>
          <w:p>
            <w:r>
              <w:t>Establecimiento o área cubierta por el pacto.</w:t>
            </w:r>
          </w:p>
        </w:tc>
      </w:tr>
      <w:tr>
        <w:tc>
          <w:tcPr>
            <w:tcW w:type="dxa" w:w="4703"/>
          </w:tcPr>
          <w:p>
            <w:r>
              <w:t>[ESCALA SALARIAL]</w:t>
            </w:r>
          </w:p>
        </w:tc>
        <w:tc>
          <w:tcPr>
            <w:tcW w:type="dxa" w:w="4703"/>
          </w:tcPr>
          <w:p>
            <w:r>
              <w:t>Tabla de salarios por categoría/cargo.</w:t>
            </w:r>
          </w:p>
        </w:tc>
      </w:tr>
      <w:tr>
        <w:tc>
          <w:tcPr>
            <w:tcW w:type="dxa" w:w="4703"/>
          </w:tcPr>
          <w:p>
            <w:r>
              <w:t>[FUERO SINDICAL]</w:t>
            </w:r>
          </w:p>
        </w:tc>
        <w:tc>
          <w:tcPr>
            <w:tcW w:type="dxa" w:w="4703"/>
          </w:tcPr>
          <w:p>
            <w:r>
              <w:t>Protección especial contra despido para directivos sindicales.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Personería jurídica del sindicato (resolución del MINTRAB)</w:t>
      </w:r>
    </w:p>
    <w:p>
      <w:r>
        <w:rPr>
          <w:rFonts w:ascii="Calibri" w:hAnsi="Calibri"/>
          <w:b w:val="0"/>
          <w:i w:val="0"/>
          <w:sz w:val="21"/>
        </w:rPr>
        <w:t>☐  Acta del sindicato autorizando la negociación</w:t>
      </w:r>
    </w:p>
    <w:p>
      <w:r>
        <w:rPr>
          <w:rFonts w:ascii="Calibri" w:hAnsi="Calibri"/>
          <w:b w:val="0"/>
          <w:i w:val="0"/>
          <w:sz w:val="21"/>
        </w:rPr>
        <w:t>☐  Pliego de peticiones presentado</w:t>
      </w:r>
    </w:p>
    <w:p>
      <w:r>
        <w:rPr>
          <w:rFonts w:ascii="Calibri" w:hAnsi="Calibri"/>
          <w:b w:val="0"/>
          <w:i w:val="0"/>
          <w:sz w:val="21"/>
        </w:rPr>
        <w:t>☐  Acta de inicio de conciliación</w:t>
      </w:r>
    </w:p>
    <w:p>
      <w:r>
        <w:rPr>
          <w:rFonts w:ascii="Calibri" w:hAnsi="Calibri"/>
          <w:b w:val="0"/>
          <w:i w:val="0"/>
          <w:sz w:val="21"/>
        </w:rPr>
        <w:t>☐  Padrón de trabajadores cubiertos</w:t>
      </w:r>
    </w:p>
    <w:p>
      <w:r>
        <w:rPr>
          <w:rFonts w:ascii="Calibri" w:hAnsi="Calibri"/>
          <w:b w:val="0"/>
          <w:i w:val="0"/>
          <w:sz w:val="21"/>
        </w:rPr>
        <w:t>☐  Estados financieros de la empresa</w:t>
      </w:r>
    </w:p>
    <w:p>
      <w:r>
        <w:rPr>
          <w:rFonts w:ascii="Calibri" w:hAnsi="Calibri"/>
          <w:b w:val="0"/>
          <w:i w:val="0"/>
          <w:sz w:val="21"/>
        </w:rPr>
        <w:t>☐  Estadísticas salariales del sector</w:t>
      </w:r>
    </w:p>
    <w:p>
      <w:r>
        <w:rPr>
          <w:rFonts w:ascii="Calibri" w:hAnsi="Calibri"/>
          <w:b w:val="0"/>
          <w:i w:val="0"/>
          <w:sz w:val="21"/>
        </w:rPr>
        <w:t>☐  Documentación de procedimiento de vía directa cumplida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