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REGLAMENTO INTERIOR DE TRABAJO</w:t>
      </w:r>
    </w:p>
    <w:p>
      <w:pPr>
        <w:jc w:val="center"/>
      </w:pPr>
      <w:r>
        <w:rPr>
          <w:rFonts w:ascii="Calibri" w:hAnsi="Calibri"/>
          <w:b w:val="0"/>
          <w:i/>
          <w:sz w:val="20"/>
        </w:rPr>
        <w:t>Conforme al Código de Trabajo de Guatemala (Decreto 1441, Arts. 57–60)</w:t>
      </w:r>
    </w:p>
    <w:p/>
    <w:p>
      <w:pPr>
        <w:jc w:val="left"/>
      </w:pPr>
      <w:r>
        <w:rPr>
          <w:b/>
          <w:color w:val="1F3A5F"/>
          <w:sz w:val="26"/>
        </w:rPr>
        <w:t>COMPARECIENTES</w:t>
      </w:r>
    </w:p>
    <w:p>
      <w:pPr>
        <w:jc w:val="both"/>
      </w:pPr>
      <w:r>
        <w:rPr>
          <w:rFonts w:ascii="Calibri" w:hAnsi="Calibri"/>
          <w:b w:val="0"/>
          <w:i w:val="0"/>
          <w:sz w:val="22"/>
        </w:rPr>
        <w:t>POR UNA PARTE, [RAZÓN SOCIAL], sociedad [TIPO] organizada conforme a las leyes de Guatemala, con domicilio en [DIRECCIÓN], inscrita en el Registro Mercantil al número [#], folio [#], libro [#], NIT [NIT], representada por [NOMBRE], DPI [DPI], según [acta notarial / mandato] de fecha [FECHA], inscrita al número [#], folio [#], libro [#]; a quien en lo sucesivo se denominará 'EL PATRONO'.</w:t>
      </w:r>
    </w:p>
    <w:p>
      <w:pPr>
        <w:jc w:val="both"/>
      </w:pPr>
      <w:r>
        <w:rPr>
          <w:rFonts w:ascii="Calibri" w:hAnsi="Calibri"/>
          <w:b w:val="0"/>
          <w:i w:val="0"/>
          <w:sz w:val="22"/>
        </w:rPr>
        <w:t>Y POR LA OTRA PARTE, [NOMBRE COMPLETO], de [EDAD] años, [ESTADO CIVIL], [NACIONALIDAD], [PROFESIÓN], con domicilio en [DIRECCIÓN], identificado con DPI [DPI], NIT [NIT], a quien se denominará 'EL TRABAJADOR'.</w:t>
      </w:r>
    </w:p>
    <w:p>
      <w:pPr>
        <w:jc w:val="both"/>
      </w:pPr>
      <w:r>
        <w:rPr>
          <w:rFonts w:ascii="Calibri" w:hAnsi="Calibri"/>
          <w:b w:val="0"/>
          <w:i w:val="0"/>
          <w:sz w:val="22"/>
        </w:rPr>
        <w:t>Los comparecientes con plena capacidad legal convienen lo siguiente.</w:t>
      </w:r>
    </w:p>
    <w:p/>
    <w:p>
      <w:pPr>
        <w:jc w:val="left"/>
      </w:pPr>
      <w:r>
        <w:rPr>
          <w:b/>
          <w:color w:val="1F3A5F"/>
          <w:sz w:val="26"/>
        </w:rPr>
        <w:t>CONSIDERANDOS</w:t>
      </w:r>
    </w:p>
    <w:p>
      <w:pPr>
        <w:jc w:val="both"/>
      </w:pPr>
      <w:r>
        <w:rPr>
          <w:rFonts w:ascii="Calibri" w:hAnsi="Calibri"/>
          <w:b w:val="0"/>
          <w:i w:val="0"/>
          <w:sz w:val="22"/>
        </w:rPr>
        <w:t>I. Que la empresa cuenta con más de diez trabajadores permanentes, lo que hace obligatoria la elaboración de Reglamento Interior de Trabajo conforme al Art. 57 del Código de Trabajo.</w:t>
      </w:r>
    </w:p>
    <w:p>
      <w:pPr>
        <w:jc w:val="both"/>
      </w:pPr>
      <w:r>
        <w:rPr>
          <w:rFonts w:ascii="Calibri" w:hAnsi="Calibri"/>
          <w:b w:val="0"/>
          <w:i w:val="0"/>
          <w:sz w:val="22"/>
        </w:rPr>
        <w:t>II. Que el reglamento será sometido a aprobación de la Inspección General de Trabajo.</w:t>
      </w:r>
    </w:p>
    <w:p/>
    <w:p>
      <w:pPr>
        <w:jc w:val="left"/>
      </w:pPr>
      <w:r>
        <w:rPr>
          <w:b/>
          <w:color w:val="1F3A5F"/>
          <w:sz w:val="26"/>
        </w:rPr>
        <w:t>CLÁUSULAS</w:t>
      </w:r>
    </w:p>
    <w:p>
      <w:pPr>
        <w:jc w:val="left"/>
      </w:pPr>
      <w:r>
        <w:rPr>
          <w:b/>
          <w:color w:val="2E4E7C"/>
          <w:sz w:val="22"/>
        </w:rPr>
        <w:t>PRIMERA: DENOMINACIÓN Y DOMICILIO</w:t>
      </w:r>
    </w:p>
    <w:p>
      <w:pPr>
        <w:jc w:val="both"/>
      </w:pPr>
      <w:r>
        <w:rPr>
          <w:rFonts w:ascii="Calibri" w:hAnsi="Calibri"/>
          <w:b w:val="0"/>
          <w:i w:val="0"/>
          <w:sz w:val="22"/>
        </w:rPr>
        <w:t>La empresa se denomina [RAZÓN SOCIAL], con domicilio en [DIRECCIÓN], dedicada a la actividad de [GIRO]. NIT [#]. Para efectos del IGSS, número patronal [#].</w:t>
      </w:r>
    </w:p>
    <w:p>
      <w:pPr>
        <w:jc w:val="left"/>
      </w:pPr>
      <w:r>
        <w:rPr>
          <w:b/>
          <w:color w:val="2E4E7C"/>
          <w:sz w:val="22"/>
        </w:rPr>
        <w:t>SEGUNDA: AUTORIDADES INTERNAS</w:t>
      </w:r>
    </w:p>
    <w:p>
      <w:pPr>
        <w:jc w:val="both"/>
      </w:pPr>
      <w:r>
        <w:rPr>
          <w:rFonts w:ascii="Calibri" w:hAnsi="Calibri"/>
          <w:b w:val="0"/>
          <w:i w:val="0"/>
          <w:sz w:val="22"/>
        </w:rPr>
        <w:t>La administración corresponde a [GERENCIA GENERAL]. La supervisión disciplinaria a [JEFATURA DE RECURSOS HUMANOS]. Estos son los conductos formales de comunicación.</w:t>
      </w:r>
    </w:p>
    <w:p>
      <w:pPr>
        <w:jc w:val="left"/>
      </w:pPr>
      <w:r>
        <w:rPr>
          <w:b/>
          <w:color w:val="2E4E7C"/>
          <w:sz w:val="22"/>
        </w:rPr>
        <w:t>TERCERA: CONTRATACIÓN</w:t>
      </w:r>
    </w:p>
    <w:p>
      <w:pPr>
        <w:jc w:val="both"/>
      </w:pPr>
      <w:r>
        <w:rPr>
          <w:rFonts w:ascii="Calibri" w:hAnsi="Calibri"/>
          <w:b w:val="0"/>
          <w:i w:val="0"/>
          <w:sz w:val="22"/>
        </w:rPr>
        <w:t>La contratación se realiza por escrito conforme al Art. 28 C.T. Todo trabajador debe presentar: DPI, NIT, antecedentes penales y policíacos, certificado médico, comprobantes de residencia y referencias. Período de prueba: hasta dos meses (Art. 81).</w:t>
      </w:r>
    </w:p>
    <w:p>
      <w:pPr>
        <w:jc w:val="left"/>
      </w:pPr>
      <w:r>
        <w:rPr>
          <w:b/>
          <w:color w:val="2E4E7C"/>
          <w:sz w:val="22"/>
        </w:rPr>
        <w:t>CUARTA: JORNADAS Y HORARIOS</w:t>
      </w:r>
    </w:p>
    <w:p>
      <w:pPr>
        <w:jc w:val="both"/>
      </w:pPr>
      <w:r>
        <w:rPr>
          <w:rFonts w:ascii="Calibri" w:hAnsi="Calibri"/>
          <w:b w:val="0"/>
          <w:i w:val="0"/>
          <w:sz w:val="22"/>
        </w:rPr>
        <w:t>Jornada diurna: [HORARIO] con [#] minutos de descanso para almuerzo (no compu-tables como tiempo efectivo); mixta: [HORARIO]; nocturna: [HORARIO]. Cumplimiento estricto del Art. 116 C.T. Tolerancia máxima de [#] minutos.</w:t>
      </w:r>
    </w:p>
    <w:p>
      <w:pPr>
        <w:jc w:val="left"/>
      </w:pPr>
      <w:r>
        <w:rPr>
          <w:b/>
          <w:color w:val="2E4E7C"/>
          <w:sz w:val="22"/>
        </w:rPr>
        <w:t>QUINTA: SALARIO Y FORMA DE PAGO</w:t>
      </w:r>
    </w:p>
    <w:p>
      <w:pPr>
        <w:jc w:val="both"/>
      </w:pPr>
      <w:r>
        <w:rPr>
          <w:rFonts w:ascii="Calibri" w:hAnsi="Calibri"/>
          <w:b w:val="0"/>
          <w:i w:val="0"/>
          <w:sz w:val="22"/>
        </w:rPr>
        <w:t>Pago [quincenal / mensual] mediante depósito bancario o cheque, los días [#]. Descuentos autorizados: IGSS (4.83%), ISR (según retención), y los autorizados por ley o por el trabajador conforme al Art. 99.</w:t>
      </w:r>
    </w:p>
    <w:p>
      <w:pPr>
        <w:jc w:val="left"/>
      </w:pPr>
      <w:r>
        <w:rPr>
          <w:b/>
          <w:color w:val="2E4E7C"/>
          <w:sz w:val="22"/>
        </w:rPr>
        <w:t>SEXTA: DESCANSOS, VACACIONES Y ASUETOS</w:t>
      </w:r>
    </w:p>
    <w:p>
      <w:pPr>
        <w:jc w:val="both"/>
      </w:pPr>
      <w:r>
        <w:rPr>
          <w:rFonts w:ascii="Calibri" w:hAnsi="Calibri"/>
          <w:b w:val="0"/>
          <w:i w:val="0"/>
          <w:sz w:val="22"/>
        </w:rPr>
        <w:t>Séptimo día remunerado; 15 días hábiles de vacaciones por año cumplido; asuetos oficiales remunerados.</w:t>
      </w:r>
    </w:p>
    <w:p>
      <w:pPr>
        <w:jc w:val="left"/>
      </w:pPr>
      <w:r>
        <w:rPr>
          <w:b/>
          <w:color w:val="2E4E7C"/>
          <w:sz w:val="22"/>
        </w:rPr>
        <w:t>SÉPTIMA: AGUINALDO Y BONO 14</w:t>
      </w:r>
    </w:p>
    <w:p>
      <w:pPr>
        <w:jc w:val="both"/>
      </w:pPr>
      <w:r>
        <w:rPr>
          <w:rFonts w:ascii="Calibri" w:hAnsi="Calibri"/>
          <w:b w:val="0"/>
          <w:i w:val="0"/>
          <w:sz w:val="22"/>
        </w:rPr>
        <w:t>Aguinaldo (Art. 102j Constitución, Decreto 76-78): salario mensual ordinario pagadero el 15 de diciembre. Bono 14 (Decreto 42-92): un salario mensual ordinario pagadero el 15 de julio.</w:t>
      </w:r>
    </w:p>
    <w:p>
      <w:pPr>
        <w:jc w:val="left"/>
      </w:pPr>
      <w:r>
        <w:rPr>
          <w:b/>
          <w:color w:val="2E4E7C"/>
          <w:sz w:val="22"/>
        </w:rPr>
        <w:t>OCTAVA: OBLIGACIONES DEL TRABAJADOR</w:t>
      </w:r>
    </w:p>
    <w:p>
      <w:pPr>
        <w:jc w:val="both"/>
      </w:pPr>
      <w:r>
        <w:rPr>
          <w:rFonts w:ascii="Calibri" w:hAnsi="Calibri"/>
          <w:b w:val="0"/>
          <w:i w:val="0"/>
          <w:sz w:val="22"/>
        </w:rPr>
        <w:t>(a) Cumplir el horario; (b) ejecutar el trabajo con diligencia y eficiencia; (c) obedecer las órdenes lícitas de sus superiores; (d) guardar respeto y confidencialidad; (e) usar el equipo de protección personal; (f) cuidar herramientas y bienes de la empresa; (g) reportar accidentes inmediatamente; (h) abstenerse de consumir bebidas alcohólicas o sustancias prohibidas; (i) no portar armas.</w:t>
      </w:r>
    </w:p>
    <w:p>
      <w:pPr>
        <w:jc w:val="left"/>
      </w:pPr>
      <w:r>
        <w:rPr>
          <w:b/>
          <w:color w:val="2E4E7C"/>
          <w:sz w:val="22"/>
        </w:rPr>
        <w:t>NOVENA: PROHIBICIONES</w:t>
      </w:r>
    </w:p>
    <w:p>
      <w:pPr>
        <w:jc w:val="both"/>
      </w:pPr>
      <w:r>
        <w:rPr>
          <w:rFonts w:ascii="Calibri" w:hAnsi="Calibri"/>
          <w:b w:val="0"/>
          <w:i w:val="0"/>
          <w:sz w:val="22"/>
        </w:rPr>
        <w:t>(a) Realizar negocios particulares en horario laboral; (b) hacer rifas, juegos o ventas; (c) divulgar información confidencial; (d) sustraer bienes; (e) cometer actos de acoso sexual o laboral (Decreto 9-2009 y 7-2017); (f) discriminar; (g) ingresar bajo efectos de alcohol o drogas.</w:t>
      </w:r>
    </w:p>
    <w:p>
      <w:pPr>
        <w:jc w:val="left"/>
      </w:pPr>
      <w:r>
        <w:rPr>
          <w:b/>
          <w:color w:val="2E4E7C"/>
          <w:sz w:val="22"/>
        </w:rPr>
        <w:t>DÉCIMA: FALTAS Y SANCIONES</w:t>
      </w:r>
    </w:p>
    <w:p>
      <w:pPr>
        <w:jc w:val="both"/>
      </w:pPr>
      <w:r>
        <w:rPr>
          <w:rFonts w:ascii="Calibri" w:hAnsi="Calibri"/>
          <w:b w:val="0"/>
          <w:i w:val="0"/>
          <w:sz w:val="22"/>
        </w:rPr>
        <w:t>Las faltas se clasifican en leves, graves y gravísimas. Sanciones: amonestación verbal, escrita, suspensión sin goce de salario hasta por ocho días, terminación con o sin responsabilidad patronal según corresponda (Arts. 77 y 78 C.T.). El trabajador tiene derecho de audiencia previa.</w:t>
      </w:r>
    </w:p>
    <w:p>
      <w:pPr>
        <w:jc w:val="left"/>
      </w:pPr>
      <w:r>
        <w:rPr>
          <w:b/>
          <w:color w:val="2E4E7C"/>
          <w:sz w:val="22"/>
        </w:rPr>
        <w:t>DÉCIMA PRIMERA: ACOSO Y NO DISCRIMINACIÓN</w:t>
      </w:r>
    </w:p>
    <w:p>
      <w:pPr>
        <w:jc w:val="both"/>
      </w:pPr>
      <w:r>
        <w:rPr>
          <w:rFonts w:ascii="Calibri" w:hAnsi="Calibri"/>
          <w:b w:val="0"/>
          <w:i w:val="0"/>
          <w:sz w:val="22"/>
        </w:rPr>
        <w:t>Política de tolerancia cero contra acoso sexual (Decreto 9-2009), acoso laboral y discriminación. Procedimiento de denuncia confidencial. Las represalias contra denunciantes serán consideradas falta gravísima.</w:t>
      </w:r>
    </w:p>
    <w:p>
      <w:pPr>
        <w:jc w:val="left"/>
      </w:pPr>
      <w:r>
        <w:rPr>
          <w:b/>
          <w:color w:val="2E4E7C"/>
          <w:sz w:val="22"/>
        </w:rPr>
        <w:t>DÉCIMA SEGUNDA: SALUD Y SEGURIDAD OCUPACIONAL</w:t>
      </w:r>
    </w:p>
    <w:p>
      <w:pPr>
        <w:jc w:val="both"/>
      </w:pPr>
      <w:r>
        <w:rPr>
          <w:rFonts w:ascii="Calibri" w:hAnsi="Calibri"/>
          <w:b w:val="0"/>
          <w:i w:val="0"/>
          <w:sz w:val="22"/>
        </w:rPr>
        <w:t>Cumplimiento del Acuerdo Gubernativo 229-2014. Constitución de Comité Bipartito de Salud y Seguridad (más de 50 trabajadores). Equipo de protección personal obligatorio. Botiquín, brigadas, simulacros.</w:t>
      </w:r>
    </w:p>
    <w:p>
      <w:pPr>
        <w:jc w:val="left"/>
      </w:pPr>
      <w:r>
        <w:rPr>
          <w:b/>
          <w:color w:val="2E4E7C"/>
          <w:sz w:val="22"/>
        </w:rPr>
        <w:t>DÉCIMA TERCERA: TERMINACIÓN DE LA RELACIÓN LABORAL</w:t>
      </w:r>
    </w:p>
    <w:p>
      <w:pPr>
        <w:jc w:val="both"/>
      </w:pPr>
      <w:r>
        <w:rPr>
          <w:rFonts w:ascii="Calibri" w:hAnsi="Calibri"/>
          <w:b w:val="0"/>
          <w:i w:val="0"/>
          <w:sz w:val="22"/>
        </w:rPr>
        <w:t>Las relaciones se terminan por las causas del Art. 76 (mutuo, muerte, etc.), Art. 77 (causas justas de despido), Art. 78 (procedimiento), Art. 79 (justas causas para el trabajador). Indemnización conforme al Art. 82.</w:t>
      </w:r>
    </w:p>
    <w:p>
      <w:pPr>
        <w:jc w:val="left"/>
      </w:pPr>
      <w:r>
        <w:rPr>
          <w:b/>
          <w:color w:val="2E4E7C"/>
          <w:sz w:val="22"/>
        </w:rPr>
        <w:t>DÉCIMA CUARTA: ENTREGA DE EQUIPO Y FINIQUITOS</w:t>
      </w:r>
    </w:p>
    <w:p>
      <w:pPr>
        <w:jc w:val="both"/>
      </w:pPr>
      <w:r>
        <w:rPr>
          <w:rFonts w:ascii="Calibri" w:hAnsi="Calibri"/>
          <w:b w:val="0"/>
          <w:i w:val="0"/>
          <w:sz w:val="22"/>
        </w:rPr>
        <w:t>Al término de la relación, el trabajador entregará todo el equipo y materiales de la empresa, suscribirá finiquito y recibirá las prestaciones que correspondan dentro de los plazos legales.</w:t>
      </w:r>
    </w:p>
    <w:p>
      <w:pPr>
        <w:jc w:val="left"/>
      </w:pPr>
      <w:r>
        <w:rPr>
          <w:b/>
          <w:color w:val="2E4E7C"/>
          <w:sz w:val="22"/>
        </w:rPr>
        <w:t>DÉCIMA QUINTA: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SEXTA: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SÉPTIMA: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OCTAVA: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NOVENA: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VIGÉSIMA: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VIGÉSIMA PRIMERA: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TELETRABAJO</w:t>
      </w:r>
    </w:p>
    <w:p>
      <w:pPr>
        <w:jc w:val="both"/>
      </w:pPr>
      <w:r>
        <w:rPr>
          <w:rFonts w:ascii="Calibri" w:hAnsi="Calibri"/>
          <w:b w:val="0"/>
          <w:i w:val="0"/>
          <w:sz w:val="22"/>
        </w:rPr>
        <w:t>Aplican las disposiciones del Decreto 18-2024 sobre teletrabajo. Condiciones, equipos, conectividad y derecho a la desconexión conforme al anexo respectivo.</w:t>
      </w:r>
    </w:p>
    <w:p>
      <w:pPr>
        <w:jc w:val="left"/>
      </w:pPr>
      <w:r>
        <w:rPr>
          <w:b/>
          <w:color w:val="2E4E7C"/>
          <w:sz w:val="22"/>
        </w:rPr>
        <w:t>[OPCIONAL] POLÍTICA BYOD</w:t>
      </w:r>
    </w:p>
    <w:p>
      <w:pPr>
        <w:jc w:val="both"/>
      </w:pPr>
      <w:r>
        <w:rPr>
          <w:rFonts w:ascii="Calibri" w:hAnsi="Calibri"/>
          <w:b w:val="0"/>
          <w:i w:val="0"/>
          <w:sz w:val="22"/>
        </w:rPr>
        <w:t>Si el trabajador utiliza dispositivos personales para fines laborales, será obligatorio instalar herramientas de seguridad indicadas por la empresa, las cuales respetarán su privacidad en el ámbito personal.</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[REPRESENTANTE LEGAL]</w:t>
        <w:br/>
        <w:t>EL PATRONO</w:t>
        <w:br/>
        <w:t>[RAZÓN SOCIAL]</w:t>
      </w:r>
    </w:p>
    <w:p>
      <w:r>
        <w:rPr>
          <w:rFonts w:ascii="Calibri" w:hAnsi="Calibri"/>
          <w:b w:val="0"/>
          <w:i w:val="0"/>
          <w:sz w:val="22"/>
        </w:rPr>
        <w:t>_________________________________</w:t>
        <w:br/>
        <w:t>[NOMBRE]</w:t>
        <w:br/>
        <w:t>EL TRABAJADOR (recibe copia)</w:t>
        <w:br/>
        <w:t>DPI: [NÚMERO]</w:t>
      </w:r>
    </w:p>
    <w:p>
      <w:r>
        <w:br w:type="page"/>
      </w:r>
    </w:p>
    <w:p>
      <w:pPr>
        <w:jc w:val="left"/>
      </w:pPr>
      <w:r>
        <w:rPr>
          <w:b/>
          <w:color w:val="1F3A5F"/>
          <w:sz w:val="26"/>
        </w:rPr>
        <w:t>NOTAS LEGALES (Guatemala)</w:t>
      </w:r>
    </w:p>
    <w:p>
      <w:pPr>
        <w:jc w:val="both"/>
      </w:pPr>
      <w:r>
        <w:rPr>
          <w:rFonts w:ascii="Calibri" w:hAnsi="Calibri"/>
          <w:b w:val="0"/>
          <w:i w:val="0"/>
          <w:sz w:val="21"/>
        </w:rPr>
        <w:t>• Base legal: Arts. 57 a 60 del Código de Trabajo.</w:t>
      </w:r>
    </w:p>
    <w:p>
      <w:pPr>
        <w:jc w:val="both"/>
      </w:pPr>
      <w:r>
        <w:rPr>
          <w:rFonts w:ascii="Calibri" w:hAnsi="Calibri"/>
          <w:b w:val="0"/>
          <w:i w:val="0"/>
          <w:sz w:val="21"/>
        </w:rPr>
        <w:t>• Obligatorio para patronos con MÁS DE DIEZ TRABAJADORES PERMANENTES.</w:t>
      </w:r>
    </w:p>
    <w:p>
      <w:pPr>
        <w:jc w:val="both"/>
      </w:pPr>
      <w:r>
        <w:rPr>
          <w:rFonts w:ascii="Calibri" w:hAnsi="Calibri"/>
          <w:b w:val="0"/>
          <w:i w:val="0"/>
          <w:sz w:val="21"/>
        </w:rPr>
        <w:t>• Debe ser presentado a la Inspección General de Trabajo del MINTRAB para su aprobación. Sin aprobación no es válido.</w:t>
      </w:r>
    </w:p>
    <w:p>
      <w:pPr>
        <w:jc w:val="both"/>
      </w:pPr>
      <w:r>
        <w:rPr>
          <w:rFonts w:ascii="Calibri" w:hAnsi="Calibri"/>
          <w:b w:val="0"/>
          <w:i w:val="0"/>
          <w:sz w:val="21"/>
        </w:rPr>
        <w:t>• Debe colocarse en lugares visibles del centro de trabajo.</w:t>
      </w:r>
    </w:p>
    <w:p>
      <w:pPr>
        <w:jc w:val="both"/>
      </w:pPr>
      <w:r>
        <w:rPr>
          <w:rFonts w:ascii="Calibri" w:hAnsi="Calibri"/>
          <w:b w:val="0"/>
          <w:i w:val="0"/>
          <w:sz w:val="21"/>
        </w:rPr>
        <w:t>• Cualquier modificación debe ser nuevamente sometida a aprobación.</w:t>
      </w:r>
    </w:p>
    <w:p>
      <w:pPr>
        <w:jc w:val="both"/>
      </w:pPr>
      <w:r>
        <w:rPr>
          <w:rFonts w:ascii="Calibri" w:hAnsi="Calibri"/>
          <w:b w:val="0"/>
          <w:i w:val="0"/>
          <w:sz w:val="21"/>
        </w:rPr>
        <w:t>• No puede contener disposiciones contrarias al Código de Trabajo, irrenunciables o que reduzcan derechos del trabajador (Art. 12).</w:t>
      </w:r>
    </w:p>
    <w:p>
      <w:pPr>
        <w:jc w:val="both"/>
      </w:pPr>
      <w:r>
        <w:rPr>
          <w:rFonts w:ascii="Calibri" w:hAnsi="Calibri"/>
          <w:b w:val="0"/>
          <w:i w:val="0"/>
          <w:sz w:val="21"/>
        </w:rPr>
        <w:t>• Adicional: ley de acoso sexual (Dto. 9-2009), prevención de la violencia contra la mujer.</w:t>
      </w:r>
    </w:p>
    <w:p>
      <w:pPr>
        <w:jc w:val="both"/>
      </w:pPr>
      <w:r>
        <w:rPr>
          <w:rFonts w:ascii="Calibri" w:hAnsi="Calibri"/>
          <w:b w:val="0"/>
          <w:i w:val="0"/>
          <w:sz w:val="21"/>
        </w:rPr>
        <w:t>• Compatibilidad con pactos colectivos o contratos individuales que otorguen mayores beneficios — siempre prevalece lo más favorable al trabajador.</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[NÚMERO PATRONAL IGSS]</w:t>
            </w:r>
          </w:p>
        </w:tc>
        <w:tc>
          <w:tcPr>
            <w:tcW w:type="dxa" w:w="4703"/>
          </w:tcPr>
          <w:p>
            <w:r>
              <w:t>Identificación patronal en el Instituto Guatemalteco de Seguridad Social.</w:t>
            </w:r>
          </w:p>
        </w:tc>
      </w:tr>
      <w:tr>
        <w:tc>
          <w:tcPr>
            <w:tcW w:type="dxa" w:w="4703"/>
          </w:tcPr>
          <w:p>
            <w:r>
              <w:t>[CATEGORÍAS]</w:t>
            </w:r>
          </w:p>
        </w:tc>
        <w:tc>
          <w:tcPr>
            <w:tcW w:type="dxa" w:w="4703"/>
          </w:tcPr>
          <w:p>
            <w:r>
              <w:t>Clasificación de cargos para efectos salariales y disciplinarios.</w:t>
            </w:r>
          </w:p>
        </w:tc>
      </w:tr>
    </w:tbl>
    <w:p/>
    <w:p>
      <w:pPr>
        <w:jc w:val="left"/>
      </w:pPr>
      <w:r>
        <w:rPr>
          <w:b/>
          <w:color w:val="1F3A5F"/>
          <w:sz w:val="26"/>
        </w:rPr>
        <w:t>CHECKLIST DE REQUISITOS Y DOCUMENTOS</w:t>
      </w:r>
    </w:p>
    <w:p>
      <w:r>
        <w:rPr>
          <w:rFonts w:ascii="Calibri" w:hAnsi="Calibri"/>
          <w:b w:val="0"/>
          <w:i w:val="0"/>
          <w:sz w:val="21"/>
        </w:rPr>
        <w:t>☐  Datos completos de la empresa (RM, NIT, IGSS)</w:t>
      </w:r>
    </w:p>
    <w:p>
      <w:r>
        <w:rPr>
          <w:rFonts w:ascii="Calibri" w:hAnsi="Calibri"/>
          <w:b w:val="0"/>
          <w:i w:val="0"/>
          <w:sz w:val="21"/>
        </w:rPr>
        <w:t>☐  Diagnóstico del personal y categorías</w:t>
      </w:r>
    </w:p>
    <w:p>
      <w:r>
        <w:rPr>
          <w:rFonts w:ascii="Calibri" w:hAnsi="Calibri"/>
          <w:b w:val="0"/>
          <w:i w:val="0"/>
          <w:sz w:val="21"/>
        </w:rPr>
        <w:t>☐  Asesoría legal previa</w:t>
      </w:r>
    </w:p>
    <w:p>
      <w:r>
        <w:rPr>
          <w:rFonts w:ascii="Calibri" w:hAnsi="Calibri"/>
          <w:b w:val="0"/>
          <w:i w:val="0"/>
          <w:sz w:val="21"/>
        </w:rPr>
        <w:t>☐  Aprobación del MINTRAB (Inspección General de Trabajo)</w:t>
      </w:r>
    </w:p>
    <w:p>
      <w:r>
        <w:rPr>
          <w:rFonts w:ascii="Calibri" w:hAnsi="Calibri"/>
          <w:b w:val="0"/>
          <w:i w:val="0"/>
          <w:sz w:val="21"/>
        </w:rPr>
        <w:t>☐  Difusión a todo el personal con acuse</w:t>
      </w:r>
    </w:p>
    <w:p>
      <w:r>
        <w:rPr>
          <w:rFonts w:ascii="Calibri" w:hAnsi="Calibri"/>
          <w:b w:val="0"/>
          <w:i w:val="0"/>
          <w:sz w:val="21"/>
        </w:rPr>
        <w:t>☐  Copia colocada en lugares visibles</w:t>
      </w:r>
    </w:p>
    <w:p>
      <w:r>
        <w:rPr>
          <w:rFonts w:ascii="Calibri" w:hAnsi="Calibri"/>
          <w:b w:val="0"/>
          <w:i w:val="0"/>
          <w:sz w:val="21"/>
        </w:rPr>
        <w:t>☐  Anexos: política de acoso, comité de salud y seguridad, jornadas</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