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CALIFICACIÓN DE RIESGO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Servicios profesionales — sectorialmente regulado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'LA CALIFICADORA'.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EMISOR'.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Emisión de opinión profesional sobre riesgo crediticio del emisor o de su emisión.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Calificación inicial y monitoreo anual de [EMISOR / EMISIÓN].</w:t>
      </w:r>
    </w:p>
    <w:p>
      <w:pPr>
        <w:jc w:val="left"/>
      </w:pPr>
      <w:r>
        <w:rPr>
          <w:b/>
          <w:color w:val="2E4E7C"/>
          <w:sz w:val="22"/>
        </w:rPr>
        <w:t>SEGUNDA: HONORARIOS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Inicial Q[#]; mantenimiento anual Q[#].</w:t>
      </w:r>
    </w:p>
    <w:p>
      <w:pPr>
        <w:jc w:val="left"/>
      </w:pPr>
      <w:r>
        <w:rPr>
          <w:b/>
          <w:color w:val="2E4E7C"/>
          <w:sz w:val="22"/>
        </w:rPr>
        <w:t>TERCERA: INFORMACIÓN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Emisor proporciona información completa y veraz; calificadora acceso a libros.</w:t>
      </w:r>
    </w:p>
    <w:p>
      <w:pPr>
        <w:jc w:val="left"/>
      </w:pPr>
      <w:r>
        <w:rPr>
          <w:b/>
          <w:color w:val="2E4E7C"/>
          <w:sz w:val="22"/>
        </w:rPr>
        <w:t>CUARTA: METODOLOGÍA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Conforme a metodología publicada de la calificadora.</w:t>
      </w:r>
    </w:p>
    <w:p>
      <w:pPr>
        <w:jc w:val="left"/>
      </w:pPr>
      <w:r>
        <w:rPr>
          <w:b/>
          <w:color w:val="2E4E7C"/>
          <w:sz w:val="22"/>
        </w:rPr>
        <w:t>QUINTA: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Salvo lo necesariamente divulgable en el rating público.</w:t>
      </w:r>
    </w:p>
    <w:p>
      <w:pPr>
        <w:jc w:val="left"/>
      </w:pPr>
      <w:r>
        <w:rPr>
          <w:b/>
          <w:color w:val="2E4E7C"/>
          <w:sz w:val="22"/>
        </w:rPr>
        <w:t>SEXTA: INDEPENDENCIA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Calificadora actúa con independencia; no hay vínculo de propiedad ni servicios adicionales conflictivos.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CALIFICACIÓN CONFIDENCIAL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Para uso interno del cliente.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CALIFICADORA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EMISOR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Calificadoras autorizadas por RMV.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Independencia y conflictos de interés regulados.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Escala de calificación pública (AAA, AA, A, etc.).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Monitoreo continuo y revisiones.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[RATING]</w:t>
            </w:r>
          </w:p>
        </w:tc>
        <w:tc>
          <w:tcPr>
            <w:tcW w:type="dxa" w:w="4703"/>
          </w:tcPr>
          <w:p>
            <w:r>
              <w:t>Calificación de riesgo crediticio.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Información financiera completa</w:t>
      </w:r>
    </w:p>
    <w:p>
      <w:r>
        <w:rPr>
          <w:rFonts w:ascii="Calibri" w:hAnsi="Calibri"/>
          <w:b w:val="0"/>
          <w:i w:val="0"/>
          <w:sz w:val="21"/>
        </w:rPr>
        <w:t>☐  Plan estratégico</w:t>
      </w:r>
    </w:p>
    <w:p>
      <w:r>
        <w:rPr>
          <w:rFonts w:ascii="Calibri" w:hAnsi="Calibri"/>
          <w:b w:val="0"/>
          <w:i w:val="0"/>
          <w:sz w:val="21"/>
        </w:rPr>
        <w:t>☐  Sesiones con management</w:t>
      </w:r>
    </w:p>
    <w:p>
      <w:r>
        <w:rPr>
          <w:rFonts w:ascii="Calibri" w:hAnsi="Calibri"/>
          <w:b w:val="0"/>
          <w:i w:val="0"/>
          <w:sz w:val="21"/>
        </w:rPr>
        <w:t>☐  Política contra conflictos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