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CONTRATO DE CUSTODIA DE VALORES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LMV y normas DCV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'EL CUSTODIO'.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TITULAR'.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Servicios de custodia profesional de valores.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OBJETO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Custodia profesional de valores del titular en cuentas segregadas.</w:t>
      </w:r>
    </w:p>
    <w:p>
      <w:pPr>
        <w:jc w:val="left"/>
      </w:pPr>
      <w:r>
        <w:rPr>
          <w:b/>
          <w:color w:val="2E4E7C"/>
          <w:sz w:val="22"/>
        </w:rPr>
        <w:t>SEGUNDA: VALORES BAJO CUSTODIA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[LISTA]</w:t>
      </w:r>
    </w:p>
    <w:p>
      <w:pPr>
        <w:jc w:val="left"/>
      </w:pPr>
      <w:r>
        <w:rPr>
          <w:b/>
          <w:color w:val="2E4E7C"/>
          <w:sz w:val="22"/>
        </w:rPr>
        <w:t>TERCERA: OBLIGACIONES DEL CUSTODIO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Resguardo; cobro de cupones y dividendos; ejercicio de derechos por instrucción; reportes mensuales.</w:t>
      </w:r>
    </w:p>
    <w:p>
      <w:pPr>
        <w:jc w:val="left"/>
      </w:pPr>
      <w:r>
        <w:rPr>
          <w:b/>
          <w:color w:val="2E4E7C"/>
          <w:sz w:val="22"/>
        </w:rPr>
        <w:t>CUARTA: INMOVILIZACIÓN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valores quedan inmovilizados; transferencias por anotaciones electrónicas.</w:t>
      </w:r>
    </w:p>
    <w:p>
      <w:pPr>
        <w:jc w:val="left"/>
      </w:pPr>
      <w:r>
        <w:rPr>
          <w:b/>
          <w:color w:val="2E4E7C"/>
          <w:sz w:val="22"/>
        </w:rPr>
        <w:t>QUINTA: COMISIÓN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[#] basis points anuales sobre activos.</w:t>
      </w:r>
    </w:p>
    <w:p>
      <w:pPr>
        <w:jc w:val="left"/>
      </w:pPr>
      <w:r>
        <w:rPr>
          <w:b/>
          <w:color w:val="2E4E7C"/>
          <w:sz w:val="22"/>
        </w:rPr>
        <w:t>SEXTA: RESPONSABILIDAD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Custodio responde por dolo y negligencia.</w:t>
      </w:r>
    </w:p>
    <w:p>
      <w:pPr>
        <w:jc w:val="left"/>
      </w:pPr>
      <w:r>
        <w:rPr>
          <w:b/>
          <w:color w:val="2E4E7C"/>
          <w:sz w:val="22"/>
        </w:rPr>
        <w:t>SÉPTIMA: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OCTAVA: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NOVENA: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PRIMERA: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SEGUNDA: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TERCERA: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GLOBAL CUSTODY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Servicios internacionales de custodia.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CUSTODIO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TITULAR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DCV centraliza el depósito y administración.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Cuentas segregadas — no fungibilidad indebida.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Custodios deben ser autorizados (DCV, bancos custodios).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Conciliación periódica obligatoria.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[DCV]</w:t>
            </w:r>
          </w:p>
        </w:tc>
        <w:tc>
          <w:tcPr>
            <w:tcW w:type="dxa" w:w="4703"/>
          </w:tcPr>
          <w:p>
            <w:r>
              <w:t>Depósito Centralizado de Valores.</w:t>
            </w:r>
          </w:p>
        </w:tc>
      </w:tr>
      <w:tr>
        <w:tc>
          <w:tcPr>
            <w:tcW w:type="dxa" w:w="4703"/>
          </w:tcPr>
          <w:p>
            <w:r>
              <w:t>[INMOVILIZACIÓN]</w:t>
            </w:r>
          </w:p>
        </w:tc>
        <w:tc>
          <w:tcPr>
            <w:tcW w:type="dxa" w:w="4703"/>
          </w:tcPr>
          <w:p>
            <w:r>
              <w:t>Valores físicos quedan custodiados; transferencias electrónicas.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Autorización custodio</w:t>
      </w:r>
    </w:p>
    <w:p>
      <w:r>
        <w:rPr>
          <w:rFonts w:ascii="Calibri" w:hAnsi="Calibri"/>
          <w:b w:val="0"/>
          <w:i w:val="0"/>
          <w:sz w:val="21"/>
        </w:rPr>
        <w:t>☐  Cuenta segregada</w:t>
      </w:r>
    </w:p>
    <w:p>
      <w:r>
        <w:rPr>
          <w:rFonts w:ascii="Calibri" w:hAnsi="Calibri"/>
          <w:b w:val="0"/>
          <w:i w:val="0"/>
          <w:sz w:val="21"/>
        </w:rPr>
        <w:t>☐  Conciliaciones</w:t>
      </w:r>
    </w:p>
    <w:p>
      <w:r>
        <w:rPr>
          <w:rFonts w:ascii="Calibri" w:hAnsi="Calibri"/>
          <w:b w:val="0"/>
          <w:i w:val="0"/>
          <w:sz w:val="21"/>
        </w:rPr>
        <w:t>☐  Pólizas de errores y omisiones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