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EMISIÓN DE BONOS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LMV (Dto. 34-96) y Reglamentos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REPRESENTANTE DE OBLIGACIONISTAS'.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Estructura de emisión de bonos corporativos.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EMISIÓN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bonos de Q[VN] cada uno, plazo [#] años, cupón [#]% anual.</w:t>
      </w:r>
    </w:p>
    <w:p>
      <w:pPr>
        <w:jc w:val="left"/>
      </w:pPr>
      <w:r>
        <w:rPr>
          <w:b/>
          <w:color w:val="2E4E7C"/>
          <w:sz w:val="22"/>
        </w:rPr>
        <w:t>SEGUNDA: AGENTE FIDUCIARIO / REPRESENTANTE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[BANCO] representa a los tenedores.</w:t>
      </w:r>
    </w:p>
    <w:p>
      <w:pPr>
        <w:jc w:val="left"/>
      </w:pPr>
      <w:r>
        <w:rPr>
          <w:b/>
          <w:color w:val="2E4E7C"/>
          <w:sz w:val="22"/>
        </w:rPr>
        <w:t>TERCERA: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[Quirografario / con garantía real / fideicomiso de garantía].</w:t>
      </w:r>
    </w:p>
    <w:p>
      <w:pPr>
        <w:jc w:val="left"/>
      </w:pPr>
      <w:r>
        <w:rPr>
          <w:b/>
          <w:color w:val="2E4E7C"/>
          <w:sz w:val="22"/>
        </w:rPr>
        <w:t>CUARTA: COVENANTS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Financieros y operativos.</w:t>
      </w:r>
    </w:p>
    <w:p>
      <w:pPr>
        <w:jc w:val="left"/>
      </w:pPr>
      <w:r>
        <w:rPr>
          <w:b/>
          <w:color w:val="2E4E7C"/>
          <w:sz w:val="22"/>
        </w:rPr>
        <w:t>QUINTA: EVENTOS DE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Definidos. Cross-default.</w:t>
      </w:r>
    </w:p>
    <w:p>
      <w:pPr>
        <w:jc w:val="left"/>
      </w:pPr>
      <w:r>
        <w:rPr>
          <w:b/>
          <w:color w:val="2E4E7C"/>
          <w:sz w:val="22"/>
        </w:rPr>
        <w:t>SEXTA: AMORTIZACIÓN Y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Cupones semestrales; principal al vencimiento (bullet) o amortizable.</w:t>
      </w:r>
    </w:p>
    <w:p>
      <w:pPr>
        <w:jc w:val="left"/>
      </w:pPr>
      <w:r>
        <w:rPr>
          <w:b/>
          <w:color w:val="2E4E7C"/>
          <w:sz w:val="22"/>
        </w:rPr>
        <w:t>SÉPTIMA: LISTADO BVN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Bonos listados para negociación secundaria.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BONOS CONVERTIBLES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Convertibles en acciones.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REPRESENTANTE DE OBLIGACIONISTAS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LMV — registro en RMV.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Calificación de riesgo obligatoria.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Representante de obligacionistas con deberes fiduciarios.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Asambleas de obligacionistas para decisiones colectivas.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Reportes continuos.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[CUPÓN]</w:t>
            </w:r>
          </w:p>
        </w:tc>
        <w:tc>
          <w:tcPr>
            <w:tcW w:type="dxa" w:w="4703"/>
          </w:tcPr>
          <w:p>
            <w:r>
              <w:t>Interés periódico del bono.</w:t>
            </w:r>
          </w:p>
        </w:tc>
      </w:tr>
      <w:tr>
        <w:tc>
          <w:tcPr>
            <w:tcW w:type="dxa" w:w="4703"/>
          </w:tcPr>
          <w:p>
            <w:r>
              <w:t>[BULLET]</w:t>
            </w:r>
          </w:p>
        </w:tc>
        <w:tc>
          <w:tcPr>
            <w:tcW w:type="dxa" w:w="4703"/>
          </w:tcPr>
          <w:p>
            <w:r>
              <w:t>Pago de principal al vencimiento.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Folleto</w:t>
      </w:r>
    </w:p>
    <w:p>
      <w:r>
        <w:rPr>
          <w:rFonts w:ascii="Calibri" w:hAnsi="Calibri"/>
          <w:b w:val="0"/>
          <w:i w:val="0"/>
          <w:sz w:val="21"/>
        </w:rPr>
        <w:t>☐  Rating</w:t>
      </w:r>
    </w:p>
    <w:p>
      <w:r>
        <w:rPr>
          <w:rFonts w:ascii="Calibri" w:hAnsi="Calibri"/>
          <w:b w:val="0"/>
          <w:i w:val="0"/>
          <w:sz w:val="21"/>
        </w:rPr>
        <w:t>☐  Representante designado</w:t>
      </w:r>
    </w:p>
    <w:p>
      <w:r>
        <w:rPr>
          <w:rFonts w:ascii="Calibri" w:hAnsi="Calibri"/>
          <w:b w:val="0"/>
          <w:i w:val="0"/>
          <w:sz w:val="21"/>
        </w:rPr>
        <w:t>☐  Custodia</w:t>
      </w:r>
    </w:p>
    <w:p>
      <w:r>
        <w:rPr>
          <w:rFonts w:ascii="Calibri" w:hAnsi="Calibri"/>
          <w:b w:val="0"/>
          <w:i w:val="0"/>
          <w:sz w:val="21"/>
        </w:rPr>
        <w:t>☐  Inscripción RMV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