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OFERTA PÚBLICA DE VALORES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LMV (Dto. 34-96)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[TIPO] organizada conforme a las leyes de Guatemala, con domicilio en [DIRECCIÓN], inscrita en el Registro Mercantil al número [#], folio [#], libro [#], NIT [NIT], representada por [NOMBRE], DPI [DPI], según [acta notarial / mandato] de fecha [FECHA], inscrita al número [#], folio [#], libro [#]; a quien en lo sucesivo se denominará 'EL EMISOR'.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[NOMBRE COMPLETO], de [EDAD] años, [ESTADO CIVIL], [NACIONALIDAD], [PROFESIÓN], con domicilio en [DIRECCIÓN], identificado con DPI [DPI], NIT [NIT], a quien se denominará 'LOS INTERMEDIARIOS'.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comparecientes con plena capacidad legal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Marco para emisión y colocación pública de valores.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OBJETO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Oferta pública de [#] [VALORES] por monto total Q[#].</w:t>
      </w:r>
    </w:p>
    <w:p>
      <w:pPr>
        <w:jc w:val="left"/>
      </w:pPr>
      <w:r>
        <w:rPr>
          <w:b/>
          <w:color w:val="2E4E7C"/>
          <w:sz w:val="22"/>
        </w:rPr>
        <w:t>SEGUNDA: PRECIO Y PROCESO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[Bookbuilding / precio fijo]. Periodo de oferta [#] días.</w:t>
      </w:r>
    </w:p>
    <w:p>
      <w:pPr>
        <w:jc w:val="left"/>
      </w:pPr>
      <w:r>
        <w:rPr>
          <w:b/>
          <w:color w:val="2E4E7C"/>
          <w:sz w:val="22"/>
        </w:rPr>
        <w:t>TERCERA: REGISTRO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Inscripción en el Registro del Mercado de Valores y Mercancías.</w:t>
      </w:r>
    </w:p>
    <w:p>
      <w:pPr>
        <w:jc w:val="left"/>
      </w:pPr>
      <w:r>
        <w:rPr>
          <w:b/>
          <w:color w:val="2E4E7C"/>
          <w:sz w:val="22"/>
        </w:rPr>
        <w:t>CUARTA: DIVULGACIÓN CONTINUA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Hechos relevantes; estados financieros trimestrales; informes anuales.</w:t>
      </w:r>
    </w:p>
    <w:p>
      <w:pPr>
        <w:jc w:val="left"/>
      </w:pPr>
      <w:r>
        <w:rPr>
          <w:b/>
          <w:color w:val="2E4E7C"/>
          <w:sz w:val="22"/>
        </w:rPr>
        <w:t>QUINTA: AGENTE PAGADOR Y CUSTODIO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[BANCO]</w:t>
      </w:r>
    </w:p>
    <w:p>
      <w:pPr>
        <w:jc w:val="left"/>
      </w:pPr>
      <w:r>
        <w:rPr>
          <w:b/>
          <w:color w:val="2E4E7C"/>
          <w:sz w:val="22"/>
        </w:rPr>
        <w:t>SEXTA: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SÉPTIMA: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OCTAVA: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NOVENA: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PRIMERA: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SEGUNDA: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IPO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Initial Public Offering de acciones.</w:t>
      </w:r>
    </w:p>
    <w:p>
      <w:pPr>
        <w:jc w:val="left"/>
      </w:pPr>
      <w:r>
        <w:rPr>
          <w:b/>
          <w:color w:val="2E4E7C"/>
          <w:sz w:val="22"/>
        </w:rPr>
        <w:t>[OPCIONAL] SECONDARY OFFERING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Emisión posterior a primera oferta.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EMISOR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[NOMBRE]</w:t>
        <w:br/>
        <w:t>LOS INTERMEDIARIOS</w:t>
        <w:br/>
        <w:t>DPI: [NÚMERO]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LMV exige autorización para oferta pública.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RMV revisa folleto y otorga aprobación.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Listado en BVN posterior al cierre.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Divulgación continua obligatoria mientras los valores estén listados.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[OFERTA PÚBLICA]</w:t>
            </w:r>
          </w:p>
        </w:tc>
        <w:tc>
          <w:tcPr>
            <w:tcW w:type="dxa" w:w="4703"/>
          </w:tcPr>
          <w:p>
            <w:r>
              <w:t>Dirigida al público en general.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Folleto aprobado</w:t>
      </w:r>
    </w:p>
    <w:p>
      <w:r>
        <w:rPr>
          <w:rFonts w:ascii="Calibri" w:hAnsi="Calibri"/>
          <w:b w:val="0"/>
          <w:i w:val="0"/>
          <w:sz w:val="21"/>
        </w:rPr>
        <w:t>☐  Calificación</w:t>
      </w:r>
    </w:p>
    <w:p>
      <w:r>
        <w:rPr>
          <w:rFonts w:ascii="Calibri" w:hAnsi="Calibri"/>
          <w:b w:val="0"/>
          <w:i w:val="0"/>
          <w:sz w:val="21"/>
        </w:rPr>
        <w:t>☐  Auditoría</w:t>
      </w:r>
    </w:p>
    <w:p>
      <w:r>
        <w:rPr>
          <w:rFonts w:ascii="Calibri" w:hAnsi="Calibri"/>
          <w:b w:val="0"/>
          <w:i w:val="0"/>
          <w:sz w:val="21"/>
        </w:rPr>
        <w:t>☐  Comunicados de prensa</w:t>
      </w:r>
    </w:p>
    <w:p>
      <w:r>
        <w:rPr>
          <w:rFonts w:ascii="Calibri" w:hAnsi="Calibri"/>
          <w:b w:val="0"/>
          <w:i w:val="0"/>
          <w:sz w:val="21"/>
        </w:rPr>
        <w:t>☐  Plataforma online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