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UNDERWRITING DE EMISIÓN DE VALORES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LMV (Dto. 34-96)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UNDERWRITER'.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Estructuración y colocación de emisión pública de valores.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EMISIÓN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[Acciones / Bonos / Papel Comercial] por Q[#].</w:t>
      </w:r>
    </w:p>
    <w:p>
      <w:pPr>
        <w:jc w:val="left"/>
      </w:pPr>
      <w:r>
        <w:rPr>
          <w:b/>
          <w:color w:val="2E4E7C"/>
          <w:sz w:val="22"/>
        </w:rPr>
        <w:t>SEGUNDA: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[En firme / stand-by / mejor esfuerzo].</w:t>
      </w:r>
    </w:p>
    <w:p>
      <w:pPr>
        <w:jc w:val="left"/>
      </w:pPr>
      <w:r>
        <w:rPr>
          <w:b/>
          <w:color w:val="2E4E7C"/>
          <w:sz w:val="22"/>
        </w:rPr>
        <w:t>TERCERA: DESCUENTO/COMISIÓN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[#]%.</w:t>
      </w:r>
    </w:p>
    <w:p>
      <w:pPr>
        <w:jc w:val="left"/>
      </w:pPr>
      <w:r>
        <w:rPr>
          <w:b/>
          <w:color w:val="2E4E7C"/>
          <w:sz w:val="22"/>
        </w:rPr>
        <w:t>CUARTA: DD Y CONDICIONES PRECEDENTES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Registro RMV; rating; folleto; permisos; auditoría.</w:t>
      </w:r>
    </w:p>
    <w:p>
      <w:pPr>
        <w:jc w:val="left"/>
      </w:pPr>
      <w:r>
        <w:rPr>
          <w:b/>
          <w:color w:val="2E4E7C"/>
          <w:sz w:val="22"/>
        </w:rPr>
        <w:t>QUINTA: FOLLETO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Underwriter participa en su elaboración; emisor lo aprueba; ambos firman.</w:t>
      </w:r>
    </w:p>
    <w:p>
      <w:pPr>
        <w:jc w:val="left"/>
      </w:pPr>
      <w:r>
        <w:rPr>
          <w:b/>
          <w:color w:val="2E4E7C"/>
          <w:sz w:val="22"/>
        </w:rPr>
        <w:t>SEXTA: INDEMNIZACIÓN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Emisor indemniza por información incorrecta.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DUAL LISTING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Listado en múltiples bolsas.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EMISOR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UNDERWRITER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Registro previo de la emisión en RMV.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Calificación de riesgo obligatoria para algunas emisiones.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Folleto informativo: documento clave de divulgación.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Bolsa de Valores Nacional: listado y negociación.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[FOLLETO]</w:t>
            </w:r>
          </w:p>
        </w:tc>
        <w:tc>
          <w:tcPr>
            <w:tcW w:type="dxa" w:w="4703"/>
          </w:tcPr>
          <w:p>
            <w:r>
              <w:t>Documento informativo de la emisión.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Folleto</w:t>
      </w:r>
    </w:p>
    <w:p>
      <w:r>
        <w:rPr>
          <w:rFonts w:ascii="Calibri" w:hAnsi="Calibri"/>
          <w:b w:val="0"/>
          <w:i w:val="0"/>
          <w:sz w:val="21"/>
        </w:rPr>
        <w:t>☐  Rating</w:t>
      </w:r>
    </w:p>
    <w:p>
      <w:r>
        <w:rPr>
          <w:rFonts w:ascii="Calibri" w:hAnsi="Calibri"/>
          <w:b w:val="0"/>
          <w:i w:val="0"/>
          <w:sz w:val="21"/>
        </w:rPr>
        <w:t>☐  Acuerdo con BVN</w:t>
      </w:r>
    </w:p>
    <w:p>
      <w:r>
        <w:rPr>
          <w:rFonts w:ascii="Calibri" w:hAnsi="Calibri"/>
          <w:b w:val="0"/>
          <w:i w:val="0"/>
          <w:sz w:val="21"/>
        </w:rPr>
        <w:t>☐  Inscripción RMV</w:t>
      </w:r>
    </w:p>
    <w:p>
      <w:r>
        <w:rPr>
          <w:rFonts w:ascii="Calibri" w:hAnsi="Calibri"/>
          <w:b w:val="0"/>
          <w:i w:val="0"/>
          <w:sz w:val="21"/>
        </w:rPr>
        <w:t>☐  Roadshow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