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CONFIDENCIALIDAD (NDA)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Contrato atípico mercantil — autonomía contractual + protección de secretos empresariales (LPI, Decreto 57-2000)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PARTE REVELADORA'.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PARTE RECEPTORA'.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las partes desean evaluar una posible relación comercial / transacción descrita como '[FINALIDAD]'.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para tal fin LA PARTE REVELADORA divulgará información confidencial a LA PARTE RECEPTORA.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PROPÓSITO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acuerdo regula el tratamiento de la información confidencial que se intercambie entre las partes en el contexto de [DESCRIBIR FINALIDAD — evaluación de alianza, due diligence, negociación, prestación de servicios, etc.].</w:t>
      </w:r>
    </w:p>
    <w:p>
      <w:pPr>
        <w:jc w:val="left"/>
      </w:pPr>
      <w:r>
        <w:rPr>
          <w:b/>
          <w:color w:val="2E4E7C"/>
          <w:sz w:val="22"/>
        </w:rPr>
        <w:t>SEGUNDA: DEFINICIÓN DE INFORMACIÓN CONFIDENCIAL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considera Información Confidencial toda información de cualquier naturaleza —técnica, comercial, financiera, estratégica, operativa, de clientes, proveedores, precios, métodos, software, datos personales— revelada por cualquier medio (oral, escrito, electrónico) y marcada o identificable como confidencial por su naturaleza.</w:t>
      </w:r>
    </w:p>
    <w:p>
      <w:pPr>
        <w:jc w:val="left"/>
      </w:pPr>
      <w:r>
        <w:rPr>
          <w:b/>
          <w:color w:val="2E4E7C"/>
          <w:sz w:val="22"/>
        </w:rPr>
        <w:t>TERCERA: EXCEPCIONES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No será confidencial la información: (a) de dominio público al momento de su divulgación; (b) que llegue a ser pública sin culpa del receptor; (c) que el receptor pueda demostrar haber poseído previamente; (d) recibida lícitamente de un tercero sin obligación de confidencialidad; (e) requerida por autoridad competente (con notificación a la reveladora).</w:t>
      </w:r>
    </w:p>
    <w:p>
      <w:pPr>
        <w:jc w:val="left"/>
      </w:pPr>
      <w:r>
        <w:rPr>
          <w:b/>
          <w:color w:val="2E4E7C"/>
          <w:sz w:val="22"/>
        </w:rPr>
        <w:t>CUARTA: OBLIGACIONES DEL RECEPTOR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PARTE RECEPTORA se obliga a: (a) usar la Información Confidencial exclusivamente para el Propósito; (b) protegerla con el mismo cuidado que su propia información confidencial (no menor a la diligencia razonable); (c) restringir el acceso a empleados, asesores y contratistas con necesidad de conocer, todos ellos sujetos a deber de confidencialidad equivalente; (d) no copiar, reproducir, ingenierizar en reversa ni transferir a terceros sin consentimiento expreso.</w:t>
      </w:r>
    </w:p>
    <w:p>
      <w:pPr>
        <w:jc w:val="left"/>
      </w:pPr>
      <w:r>
        <w:rPr>
          <w:b/>
          <w:color w:val="2E4E7C"/>
          <w:sz w:val="22"/>
        </w:rPr>
        <w:t>QUINTA: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obligaciones de confidencialidad permanecerán vigentes durante [#] años contados desde la fecha de divulgación de cada pieza de información. Para secretos empresariales propiamente dichos, la confidencialidad será indefinida.</w:t>
      </w:r>
    </w:p>
    <w:p>
      <w:pPr>
        <w:jc w:val="left"/>
      </w:pPr>
      <w:r>
        <w:rPr>
          <w:b/>
          <w:color w:val="2E4E7C"/>
          <w:sz w:val="22"/>
        </w:rPr>
        <w:t>SEXTA: DEVOLUCIÓN O DESTRUCCIÓN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término del propósito o a solicitud de la reveladora, la receptora devolverá o destruirá la Información Confidencial y certificará por escrito haberlo hecho.</w:t>
      </w:r>
    </w:p>
    <w:p>
      <w:pPr>
        <w:jc w:val="left"/>
      </w:pPr>
      <w:r>
        <w:rPr>
          <w:b/>
          <w:color w:val="2E4E7C"/>
          <w:sz w:val="22"/>
        </w:rPr>
        <w:t>SÉPTIMA: PROPIEDAD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Información Confidencial continúa siendo propiedad de la reveladora. Este acuerdo no otorga licencia, derecho ni interés alguno sobre patentes, marcas, derechos de autor u otros derechos de propiedad intelectual.</w:t>
      </w:r>
    </w:p>
    <w:p>
      <w:pPr>
        <w:jc w:val="left"/>
      </w:pPr>
      <w:r>
        <w:rPr>
          <w:b/>
          <w:color w:val="2E4E7C"/>
          <w:sz w:val="22"/>
        </w:rPr>
        <w:t>OCTAVA: INDEMNIZACIÓN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incumplimiento causará daños y perjuicios indemnizables. Las partes acuerdan una pena convencional mínima de Q[MONTO] sin perjuicio del cobro de daños adicionales y de medidas precautorias.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MUTUO (BILATERAL)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NDA es de naturaleza recíproca: ambas partes podrán actuar como reveladora y receptora, y se obligan en idénticos términos respecto de la Información Confidencial intercambiada.</w:t>
      </w:r>
    </w:p>
    <w:p>
      <w:pPr>
        <w:jc w:val="left"/>
      </w:pPr>
      <w:r>
        <w:rPr>
          <w:b/>
          <w:color w:val="2E4E7C"/>
          <w:sz w:val="22"/>
        </w:rPr>
        <w:t>[OPCIONAL] NO SOLICITACIÓN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[#] meses, ninguna parte solicitará la contratación de empleados clave de la otra parte conocidos en el marco de este acuerdo.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PARTE REVELADORA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PARTE RECEPTORA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autonomía contractual (Código Civil) + Ley de Propiedad Industrial (Decreto 57-2000) — protección de secretos empresariales.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tutela frente a tercero, el secreto empresarial debe (a) tener valor por ser secreto; (b) ser objeto de medidas razonables para mantener su secreto.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En Guatemala no existe Ley específica de protección de datos personales general — verificar Iniciativa de Ley pendiente; aplican preceptos constitucionales y Convenio 108+ donde se haya ratificado.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las partes son sociedades, deben actuar por representante legal con facultades.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que sea oponible a terceros, la información debe identificarse claramente como confidencial.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[PROPÓSITO]</w:t>
            </w:r>
          </w:p>
        </w:tc>
        <w:tc>
          <w:tcPr>
            <w:tcW w:type="dxa" w:w="4703"/>
          </w:tcPr>
          <w:p>
            <w:r>
              <w:t>Finalidad concreta del intercambio.</w:t>
            </w:r>
          </w:p>
        </w:tc>
      </w:tr>
      <w:tr>
        <w:tc>
          <w:tcPr>
            <w:tcW w:type="dxa" w:w="4703"/>
          </w:tcPr>
          <w:p>
            <w:r>
              <w:t>[PLAZO]</w:t>
            </w:r>
          </w:p>
        </w:tc>
        <w:tc>
          <w:tcPr>
            <w:tcW w:type="dxa" w:w="4703"/>
          </w:tcPr>
          <w:p>
            <w:r>
              <w:t>Duración de la obligación de confidencialidad.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clara del propósito</w:t>
      </w:r>
    </w:p>
    <w:p>
      <w:r>
        <w:rPr>
          <w:rFonts w:ascii="Calibri" w:hAnsi="Calibri"/>
          <w:b w:val="0"/>
          <w:i w:val="0"/>
          <w:sz w:val="21"/>
        </w:rPr>
        <w:t>☐  Marcado de documentos como 'Confidencial'</w:t>
      </w:r>
    </w:p>
    <w:p>
      <w:r>
        <w:rPr>
          <w:rFonts w:ascii="Calibri" w:hAnsi="Calibri"/>
          <w:b w:val="0"/>
          <w:i w:val="0"/>
          <w:sz w:val="21"/>
        </w:rPr>
        <w:t>☐  Listado de personas autorizadas</w:t>
      </w:r>
    </w:p>
    <w:p>
      <w:r>
        <w:rPr>
          <w:rFonts w:ascii="Calibri" w:hAnsi="Calibri"/>
          <w:b w:val="0"/>
          <w:i w:val="0"/>
          <w:sz w:val="21"/>
        </w:rPr>
        <w:t>☐  Procedimientos internos de seguridad</w:t>
      </w:r>
    </w:p>
    <w:p>
      <w:r>
        <w:rPr>
          <w:rFonts w:ascii="Calibri" w:hAnsi="Calibri"/>
          <w:b w:val="0"/>
          <w:i w:val="0"/>
          <w:sz w:val="21"/>
        </w:rPr>
        <w:t>☐  Sistema de logs de acceso</w:t>
      </w:r>
    </w:p>
    <w:p>
      <w:r>
        <w:rPr>
          <w:rFonts w:ascii="Calibri" w:hAnsi="Calibri"/>
          <w:b w:val="0"/>
          <w:i w:val="0"/>
          <w:sz w:val="21"/>
        </w:rPr>
        <w:t>☐  Pólizas de seguro de ciberseguridad (recomendable)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